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5C7D6B">
        <w:rPr>
          <w:rFonts w:ascii="Times New Roman" w:hAnsi="Times New Roman" w:cs="Times New Roman"/>
          <w:b/>
          <w:sz w:val="24"/>
          <w:szCs w:val="24"/>
        </w:rPr>
        <w:t xml:space="preserve"> №18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5C7D6B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14.07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</w:p>
    <w:tbl>
      <w:tblPr>
        <w:tblW w:w="11624" w:type="dxa"/>
        <w:tblInd w:w="-601" w:type="dxa"/>
        <w:tblLayout w:type="fixed"/>
        <w:tblLook w:val="04A0"/>
      </w:tblPr>
      <w:tblGrid>
        <w:gridCol w:w="709"/>
        <w:gridCol w:w="1843"/>
        <w:gridCol w:w="6095"/>
        <w:gridCol w:w="851"/>
        <w:gridCol w:w="850"/>
        <w:gridCol w:w="1276"/>
      </w:tblGrid>
      <w:tr w:rsidR="005F3DD3" w:rsidRPr="00FC66AB" w:rsidTr="00873F6A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CF189D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3F6A" w:rsidRPr="00AA3820" w:rsidTr="00873F6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Проксимальный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бедренный стержень, короткий, 11×230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Гамма стержень должен быть изготовлен из титанового сплава соответствующего ISO 5832-3-2014 для изделий, имплантируемых в организм человека и иметь анодированное покрытие серого цвета. Стержень должен быть предназначен для остеосинтеза переломов вертельной области бедренной кости. Стержень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диаметр канюли должен быть не менее 4,6 мм. Поперечное сечение должно быть в форме круга. На стержне должны быть продольные желобки, предназначенные для облегчения введения. В проксимальной части должен быть изгиб кнаружи не более 5 град.; в проксимальной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части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должно быть утолщение диаметром 15,8 мм для обеспечения стабильности при нагрузках. Стержень должен вводиться </w:t>
            </w:r>
            <w:proofErr w:type="spellStart"/>
            <w:r>
              <w:rPr>
                <w:color w:val="000000"/>
                <w:sz w:val="20"/>
                <w:szCs w:val="20"/>
              </w:rPr>
              <w:t>антеградно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 верхушки большого вертела. Стержень блокируется  динамическим способом, 1 винтом. В проксимальной части  должно быть 1  отверстие диаметром не менее 10,5 мм под углом не менее 130 град. к оси </w:t>
            </w:r>
            <w:proofErr w:type="spellStart"/>
            <w:r>
              <w:rPr>
                <w:color w:val="000000"/>
                <w:sz w:val="20"/>
                <w:szCs w:val="20"/>
              </w:rPr>
              <w:t>стержня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дистальной части должно быть 1 овальное отверстие,  диаметром не менее 5,0мм.Стержень в базовой комплектации имеет слепой винт. Конструкция слепого винта разработана для предотвращения врастания костной ткани в полость проксимального отдела стержня, а также возможности регулировки длины этого </w:t>
            </w:r>
            <w:proofErr w:type="spellStart"/>
            <w:r>
              <w:rPr>
                <w:color w:val="000000"/>
                <w:sz w:val="20"/>
                <w:szCs w:val="20"/>
              </w:rPr>
              <w:t>стержня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иаметр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стержня должен быть 11 мм, длина стержня 230 мм. Стержень должен иметь упаковку завода изготовителя и </w:t>
            </w:r>
            <w:proofErr w:type="gramStart"/>
            <w:r>
              <w:rPr>
                <w:color w:val="000000"/>
                <w:sz w:val="20"/>
                <w:szCs w:val="20"/>
              </w:rPr>
              <w:t>маркировку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составе которой включены: название производителя,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535 600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Проксимальный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бедренный стержень, короткий, 12×230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Гамма стержень должен быть изготовлен из титанового сплава соответствующего ISO 5832-3-2014 для изделий, имплантируемых в организм человека и иметь анодированное покрытие серого цвета. Стержень должен быть предназначен для остеосинтеза переломов вертельной области бедренной кости. Стержень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диаметр канюли должен быть не менее 4,6 мм. Поперечное сечение должно быть в форме круга. На стержне должны быть продольные желобки, предназначенные для облегчения введения. В проксимальной части должен быть изгиб кнаружи не более 5 град.; в проксимальной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части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должно быть утолщение диаметром 15,8 мм для обеспечения стабильности при нагрузках. Стержень должен вводиться </w:t>
            </w:r>
            <w:proofErr w:type="spellStart"/>
            <w:r>
              <w:rPr>
                <w:color w:val="000000"/>
                <w:sz w:val="20"/>
                <w:szCs w:val="20"/>
              </w:rPr>
              <w:t>антеградно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 верхушки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большого вертела. Стержень блокируется  динамическим способом, 1 винтом. В проксимальной части  должно быть 1  отверстие диаметром не менее 10,5 мм под углом не менее 130 град. к оси </w:t>
            </w:r>
            <w:proofErr w:type="spellStart"/>
            <w:r>
              <w:rPr>
                <w:color w:val="000000"/>
                <w:sz w:val="20"/>
                <w:szCs w:val="20"/>
              </w:rPr>
              <w:t>стержня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дистальной части должно быть 1 овальное отверстие,  диаметром не менее 5,0мм.Стержень в базовой комплектации имеет слепой винт. Конструкция слепого винта разработана для предотвращения врастания костной ткани в полость проксимального отдела стержня, а также возможности регулировки длины этого </w:t>
            </w:r>
            <w:proofErr w:type="spellStart"/>
            <w:r>
              <w:rPr>
                <w:color w:val="000000"/>
                <w:sz w:val="20"/>
                <w:szCs w:val="20"/>
              </w:rPr>
              <w:t>стержня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иаметр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стержня должен быть 12 мм, длина стержня 230 мм. Стержень должен иметь упаковку завода изготовителя и </w:t>
            </w:r>
            <w:proofErr w:type="gramStart"/>
            <w:r>
              <w:rPr>
                <w:color w:val="000000"/>
                <w:sz w:val="20"/>
                <w:szCs w:val="20"/>
              </w:rPr>
              <w:t>маркировку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составе которой включены: название производителя,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468 650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Проксимальный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бедренный стержень, короткий, 13×230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Гамма стержень должен быть изготовлен из титанового сплава соответствующего ISO 5832-3-2014 для изделий, имплантируемых в организм человека и иметь анодированное покрытие серого цвета. Стержень должен быть предназначен для остеосинтеза переломов вертельной области бедренной кости. Стержень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диаметр канюли должен быть не менее 4,6 мм. Поперечное сечение должно быть в форме круга. На стержне должны быть продольные желобки, предназначенные для облегчения введения. В проксимальной части должен быть изгиб кнаружи не более 5 град.; в проксимальной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части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должно быть утолщение диаметром 15,8 мм для обеспечения стабильности при нагрузках. Стержень должен вводиться </w:t>
            </w:r>
            <w:proofErr w:type="spellStart"/>
            <w:r>
              <w:rPr>
                <w:color w:val="000000"/>
                <w:sz w:val="20"/>
                <w:szCs w:val="20"/>
              </w:rPr>
              <w:t>антеградно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 верхушки большого вертела. Стержень блокируется  динамическим способом, 1 винтом. В проксимальной части  должно быть 1  отверстие диаметром не менее 10,5 мм под углом не менее 130 град. к оси </w:t>
            </w:r>
            <w:proofErr w:type="spellStart"/>
            <w:r>
              <w:rPr>
                <w:color w:val="000000"/>
                <w:sz w:val="20"/>
                <w:szCs w:val="20"/>
              </w:rPr>
              <w:t>стержня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дистальной части должно быть 1 овальное отверстие,  диаметром не менее 5,0мм. Стержень в базовой комплектации имеет слепой винт. Конструкция слепого винта разработана для предотвращения врастания костной ткани в полость проксимального отдела стержня, а также возможности регулировки длины этого </w:t>
            </w:r>
            <w:proofErr w:type="spellStart"/>
            <w:r>
              <w:rPr>
                <w:color w:val="000000"/>
                <w:sz w:val="20"/>
                <w:szCs w:val="20"/>
              </w:rPr>
              <w:t>стержня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иаметр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стержня должен быть 13 мм, длина стержня 230 мм. Стержень должен иметь упаковку завода изготовителя и </w:t>
            </w:r>
            <w:proofErr w:type="gramStart"/>
            <w:r>
              <w:rPr>
                <w:color w:val="000000"/>
                <w:sz w:val="20"/>
                <w:szCs w:val="20"/>
              </w:rPr>
              <w:t>маркировку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составе которой включены: название производителя,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334 750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шеечный,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Винт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стягивающий должен быть изготовлен из титанового сплава соответствующего ISO 5832-3-2014 для изделий, имплантируемых в организм человека и иметь анодированное покрытие серого цвета. Тип резьбы винта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Резьбовой участок должен быть длиной не менее 30 мм. Гладкая часть винта должна иметь не менее 4 </w:t>
            </w:r>
            <w:proofErr w:type="gramStart"/>
            <w:r>
              <w:rPr>
                <w:color w:val="000000"/>
                <w:sz w:val="20"/>
                <w:szCs w:val="20"/>
              </w:rPr>
              <w:t>продольных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желобка для фиксации стопорным винтом. Желобки должны располагаться не более чем через 90 град. Наружный диаметр резьбы должен быть не более 10,5 мм.  Диаметр </w:t>
            </w:r>
            <w:proofErr w:type="spellStart"/>
            <w:r>
              <w:rPr>
                <w:color w:val="000000"/>
                <w:sz w:val="20"/>
                <w:szCs w:val="20"/>
              </w:rPr>
              <w:t>канюляции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должен быть не менее 3,3 мм. Длина винта должна быть  85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231 544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шеечный,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Винт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стягивающий должен быть изготовлен из титанового сплава соответствующего ISO 5832-3-2014 для изделий, имплантируемых в организм человека и иметь анодированное покрытие серого цвета. Тип резьбы винта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Резьбовой участок должен быть длиной не менее 30 мм. Гладкая часть винта должна иметь не менее 4 </w:t>
            </w:r>
            <w:proofErr w:type="gramStart"/>
            <w:r>
              <w:rPr>
                <w:color w:val="000000"/>
                <w:sz w:val="20"/>
                <w:szCs w:val="20"/>
              </w:rPr>
              <w:t>продольных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желобка для фиксации стопорным винтом. Желобки должны располагаться не более чем через 90 град. Наружный диаметр резьбы должен быть не более 10,5 мм.  Диаметр </w:t>
            </w:r>
            <w:proofErr w:type="spellStart"/>
            <w:r>
              <w:rPr>
                <w:color w:val="000000"/>
                <w:sz w:val="20"/>
                <w:szCs w:val="20"/>
              </w:rPr>
              <w:t>канюляции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должен быть не менее 3,3 мм. Длина винта должна быть  90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202 601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шеечный,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Винт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стягивающий должен быть изготовлен из титанового сплава соответствующего ISO 5832-3-2014 для изделий, имплантируемых в организм человека и иметь анодированное покрытие серого цвета. Тип резьбы винта должен быть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Резьбовой участок должен быть длиной не менее 30 мм. Гладкая часть винта должна иметь не менее 4 </w:t>
            </w:r>
            <w:proofErr w:type="gramStart"/>
            <w:r>
              <w:rPr>
                <w:color w:val="000000"/>
                <w:sz w:val="20"/>
                <w:szCs w:val="20"/>
              </w:rPr>
              <w:t>продольных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желобка для фиксации стопорным винтом. Желобки должны располагаться не более чем через 90 град. Наружный диаметр резьбы должен быть не более 10,5 мм.  Диаметр </w:t>
            </w:r>
            <w:proofErr w:type="spellStart"/>
            <w:r>
              <w:rPr>
                <w:color w:val="000000"/>
                <w:sz w:val="20"/>
                <w:szCs w:val="20"/>
              </w:rPr>
              <w:t>канюляции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должен быть не менее 3,3 мм. Длина винта должна быть  95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144 715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Блокирующий винт 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должен быть изготовлен из титанового сплава,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длиной  40 мм, с кортикальной резьбой по всей длине. Резьба должна быть самонарезающая. Головка винта должна быть конической формы и иметь шестигранный шлиц 4,5мм. По центру на дне шлица должно быть резьбовое отверстие диаметром 1 мм для соединения с удерживающим винтом на рабочей части отвертки. Винт должен иметь упаковку завода изготовителя и маркировку, в составе которой </w:t>
            </w:r>
            <w:proofErr w:type="gramStart"/>
            <w:r>
              <w:rPr>
                <w:color w:val="000000"/>
                <w:sz w:val="20"/>
                <w:szCs w:val="20"/>
              </w:rPr>
              <w:t>включены</w:t>
            </w:r>
            <w:proofErr w:type="gramEnd"/>
            <w:r>
              <w:rPr>
                <w:color w:val="000000"/>
                <w:sz w:val="20"/>
                <w:szCs w:val="20"/>
              </w:rPr>
              <w:t>: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46 350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Блокирующий винт 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должен быть изготовлен из титанового сплава,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длиной  50 мм, с кортикальной резьбой по всей длине. Резьба должна быть самонарезающая. Головка винта должна быть конической формы и иметь шестигранный шлиц 4,5мм. По центру на дне шлица должно быть резьбовое отверстие диаметром 1 мм для соединения с удерживающим винтом на рабочей части отвертки. Винт должен иметь упаковку завода изготовителя и маркировку, в составе которой </w:t>
            </w:r>
            <w:proofErr w:type="gramStart"/>
            <w:r>
              <w:rPr>
                <w:color w:val="000000"/>
                <w:sz w:val="20"/>
                <w:szCs w:val="20"/>
              </w:rPr>
              <w:t>включены</w:t>
            </w:r>
            <w:proofErr w:type="gramEnd"/>
            <w:r>
              <w:rPr>
                <w:color w:val="000000"/>
                <w:sz w:val="20"/>
                <w:szCs w:val="20"/>
              </w:rPr>
              <w:t>: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46 350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Фиксационный проксимальный винт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должен быть изготовлен из титанового сплава, соответствующего ISO 5832-3-2014 для </w:t>
            </w:r>
            <w:proofErr w:type="gramStart"/>
            <w:r>
              <w:rPr>
                <w:color w:val="000000"/>
                <w:sz w:val="20"/>
                <w:szCs w:val="20"/>
              </w:rPr>
              <w:t>изделий, имплантируемых в организм человека и иметь анодированное покрытие серого цвета Стопорный винт предназначен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защиты стягивающего винта от вращения и одновременно обеспечивает его перемещение в боковом направлении. Винт имеет резьбовую часть длиной не менее 8,5 мм и диаметром не менее 7,0 мм. Общая длина винта не менее 13,5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198 925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Проволока </w:t>
            </w:r>
            <w:proofErr w:type="spellStart"/>
            <w:r>
              <w:rPr>
                <w:color w:val="000000"/>
                <w:sz w:val="20"/>
                <w:szCs w:val="20"/>
              </w:rPr>
              <w:t>серкляжная</w:t>
            </w:r>
            <w:proofErr w:type="spellEnd"/>
            <w:r>
              <w:rPr>
                <w:color w:val="000000"/>
                <w:sz w:val="20"/>
                <w:szCs w:val="20"/>
              </w:rPr>
              <w:t>, сталь 1.0мм/10м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Проволока </w:t>
            </w:r>
            <w:proofErr w:type="spellStart"/>
            <w:r>
              <w:rPr>
                <w:color w:val="000000"/>
                <w:sz w:val="20"/>
                <w:szCs w:val="20"/>
              </w:rPr>
              <w:t>серкляжная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1,0мм/10м – Проволока </w:t>
            </w:r>
            <w:proofErr w:type="spellStart"/>
            <w:r>
              <w:rPr>
                <w:color w:val="000000"/>
                <w:sz w:val="20"/>
                <w:szCs w:val="20"/>
              </w:rPr>
              <w:t>серкляжная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лужит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компрессии переломов. Диаметр проволоки 1,0мм, длина 10 мм. Проволока скручена в моток круглой формы. Диаметр матка 75-85 мм. Проволока имеет повышенную эластичность.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24 660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</w:t>
            </w:r>
            <w:r>
              <w:rPr>
                <w:color w:val="000000"/>
                <w:sz w:val="20"/>
                <w:szCs w:val="20"/>
              </w:rPr>
              <w:lastRenderedPageBreak/>
              <w:t>3.5x14мм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Винт кортикальный самонарезающий 3,5 - Винт длиной 14мм. Резьба диаметром 3,5мм. Резьба на винте полная. Головка винта полупотайная, высотой 2,6мм под шестигранную отвертку S2,5,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глубина шлица 1,9мм.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30 900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3.5x16мм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3,5 - Винт длиной 16мм. Резьба диаметром 3,5мм. Резьба на винте полная. Головка винта полупотайная, высотой 2,6мм под шестигранную отвертку S2,5, глубина шлица 1,9мм.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30 900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3.5x18мм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3,5 - Винт длиной 18мм. Резьба диаметром 3,5мм. Резьба на винте полная. Головка винта полупотайная, высотой 2,6мм под шестигранную отвертку S2,5, глубина шлица 1,9мм.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30 900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3.5x20мм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3,5 - Винт длиной 20мм. Резьба диаметром 3,5мм. Резьба на винте полная. Головка винта полупотайная, высотой 2,6мм под шестигранную отвертку S2,5, глубина шлица 1,9мм.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30 900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4.5x26мм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4,5 - Винт длиной 26мм. Резьба </w:t>
            </w:r>
            <w:proofErr w:type="spellStart"/>
            <w:r>
              <w:rPr>
                <w:color w:val="000000"/>
                <w:sz w:val="20"/>
                <w:szCs w:val="20"/>
              </w:rPr>
              <w:t>двухзаходная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16 945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4.5x30мм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4,5 - Винт длиной 30мм. Резьба </w:t>
            </w:r>
            <w:proofErr w:type="spellStart"/>
            <w:r>
              <w:rPr>
                <w:color w:val="000000"/>
                <w:sz w:val="20"/>
                <w:szCs w:val="20"/>
              </w:rPr>
              <w:t>двухзаходная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16 945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4.5x34мм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4,5 - Винт длиной 34мм. Резьба </w:t>
            </w:r>
            <w:proofErr w:type="spellStart"/>
            <w:r>
              <w:rPr>
                <w:color w:val="000000"/>
                <w:sz w:val="20"/>
                <w:szCs w:val="20"/>
              </w:rPr>
              <w:t>двухзаходная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16 945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4.5x38мм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4,5 - Винт длиной 38мм. Резьба </w:t>
            </w:r>
            <w:proofErr w:type="spellStart"/>
            <w:r>
              <w:rPr>
                <w:color w:val="000000"/>
                <w:sz w:val="20"/>
                <w:szCs w:val="20"/>
              </w:rPr>
              <w:t>двухзаходная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33 890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4.5x40мм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4,5 - Винт длиной 40мм. Резьба </w:t>
            </w:r>
            <w:proofErr w:type="spellStart"/>
            <w:r>
              <w:rPr>
                <w:color w:val="000000"/>
                <w:sz w:val="20"/>
                <w:szCs w:val="20"/>
              </w:rPr>
              <w:t>двухзаходная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33 890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4.5x42мм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4,5 - Винт длиной 42мм. Резьба </w:t>
            </w:r>
            <w:proofErr w:type="spellStart"/>
            <w:r>
              <w:rPr>
                <w:color w:val="000000"/>
                <w:sz w:val="20"/>
                <w:szCs w:val="20"/>
              </w:rPr>
              <w:t>двухзаходная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33 890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кортикальный самонарезающий 4.5x46мм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кортикальный самонарезающий 4,5 - Винт длиной 46мм. Резьба </w:t>
            </w:r>
            <w:proofErr w:type="spellStart"/>
            <w:r>
              <w:rPr>
                <w:color w:val="000000"/>
                <w:sz w:val="20"/>
                <w:szCs w:val="20"/>
              </w:rPr>
              <w:t>двухзаходная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4,5мм. Резьба на винте полная. Головка винта полупотайная, высотой 3,7мм под шестигранную отвертку S3,5мм, глубина шестигранного шлица 2,9мм.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- 60°. Конусное начало имеет 3 подточки длиной 6мм, проходящие по радиусу R20мм. Имплантаты должны быть оценены по критериям безопасности и совместимости с процедурами магнитно-резонансной томографии. Материал изготовления: сплав титана, соответствующий международному стандарту ISO 5832 для изделий, имплантируемых в человеческий организм.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33 890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Спица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перьевой заточкой 1.5x310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Спица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перьевой заточкой 1.5x310 – Спица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диаметром 1,5мм,  длиной 310мм. Остриё сверху </w:t>
            </w:r>
            <w:proofErr w:type="spellStart"/>
            <w:r>
              <w:rPr>
                <w:color w:val="000000"/>
                <w:sz w:val="20"/>
                <w:szCs w:val="20"/>
              </w:rPr>
              <w:t>сплащено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размер 0,8мм, кончик треугольный. Хвостовик расширяется до размера 1,7мм в ширину и сужен на толщине до 1,05мм.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186 500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Спица, с упором,  L=400 мм,  d=1,8 мм, с перьевой заточкой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Спицы являются связующим звеном между костью и внешними опорами аппарата. Для </w:t>
            </w:r>
            <w:proofErr w:type="spellStart"/>
            <w:r>
              <w:rPr>
                <w:color w:val="000000"/>
                <w:sz w:val="20"/>
                <w:szCs w:val="20"/>
              </w:rPr>
              <w:t>чрескостного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остеосинтеза  применяются спицы диаметром 1,8 мм, длиной 400 мм. Применяются для </w:t>
            </w:r>
            <w:proofErr w:type="spellStart"/>
            <w:r>
              <w:rPr>
                <w:color w:val="000000"/>
                <w:sz w:val="20"/>
                <w:szCs w:val="20"/>
              </w:rPr>
              <w:t>чрескостного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остеосинтеза в составе комплекта для компрессионно-дистракционного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остесинтезаГ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Илизарову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для лечения переломов трубчатых костей в острый период, а также осложненных, </w:t>
            </w:r>
            <w:proofErr w:type="spellStart"/>
            <w:r>
              <w:rPr>
                <w:color w:val="000000"/>
                <w:sz w:val="20"/>
                <w:szCs w:val="20"/>
              </w:rPr>
              <w:t>оскольчатых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многофрагментарных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переломов. Функция спиц заключается в сквозном проведении их через мягкие ткани и трубчатые кости верхних и нижних конечностей, с последующим прикреплением к металлическим кольцам и полукольцам посредством  прижимных болтов и гаек. Спицы должны соответствовать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ИСО 14630 «Имплантаты хирургические неактивные». Цилиндрическая поверхность спицы должна быть полирована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электро-плазменным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методом до шероховатости не более 0,2 мкм. Спицы должны иметь форму режущей части.  Хвостовики спиц должны быть следующих размеров: длина от 10 до 11 мм, максимальная ширина 2 мм, толщина от 1 мм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 1,1 мм. Радиус притупления рабочей части спиц должен быть не более 0,03 мм. </w:t>
            </w:r>
            <w:r>
              <w:rPr>
                <w:color w:val="000000"/>
                <w:sz w:val="20"/>
                <w:szCs w:val="20"/>
              </w:rPr>
              <w:br/>
              <w:t>Материал спицы должен выдерживать усилие на разрыв не менее 130 кгс/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2. Спицы с упорной площадкой должны выдерживать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осевое усилие на сдвиг упора не менее 120 кг. (1177 н.).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Упор на спице должен быть образован наплавкой серебросодержащего припоя с содержанием серебра 40±1%. Спицы должны быть изготовлены из прутков с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высоконагортованной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поверхностью, выполненных из коррозионно-стойкой к воздействию биологических жидкостей и выделений тканей организма стали 12Х18Н9.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Относительная магнитная проницаемость стали должна быть не более 1,05.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65 640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Стержень большеберцовый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 9 мм, дл. 300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Интрамедуллярный гвоздь (стержень)  должен быть изготовлен из титанового сплава, соответствующего ISO 5832-3-2014 для изделий, имплантируемых в организм человека и иметь анодированное покрытие серого цвета. Интрамедуллярный стержень обеспечивает возможность проводить оперативное вмешательство, создавая максимально стабильную фиксацию при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переломах большеберцовой кости, </w:t>
            </w:r>
            <w:proofErr w:type="spellStart"/>
            <w:r>
              <w:rPr>
                <w:color w:val="000000"/>
                <w:sz w:val="20"/>
                <w:szCs w:val="20"/>
              </w:rPr>
              <w:t>метафизарных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переломах большеберцовой кости, определённых видах переломов </w:t>
            </w:r>
            <w:proofErr w:type="spellStart"/>
            <w:r>
              <w:rPr>
                <w:color w:val="000000"/>
                <w:sz w:val="20"/>
                <w:szCs w:val="20"/>
              </w:rPr>
              <w:t>тибиального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плато и переломов зоны пилона. Стержень в базовой комплектации имеет слепой винт.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кости. Для этого в проксимальном отделе стержня должны быть 5 отверстий, из них: два отверстия диаметром не менее 5,0 мм во фронтальной плоскости, одно из которых овальное, для создания </w:t>
            </w:r>
            <w:proofErr w:type="spellStart"/>
            <w:r>
              <w:rPr>
                <w:color w:val="000000"/>
                <w:sz w:val="20"/>
                <w:szCs w:val="20"/>
              </w:rPr>
              <w:t>динамизации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второе круглое диаметром не менее 5,0 мм.  В сагиттальной плоскости одно круглое отверстие с внутренней резьбой диаметром не менее 5,0 мм в косо-восходящем направлении; в косых плоскостях 2 круглых отверстия диаметром не менее 5,0 мм.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Аксиально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стабильные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углы, образованные между сагиттальным и косыми винтами, равные и каждый из них составляет  не менее 41 градуса и не более 43 градусов. Проксимальный отдел стержня имеет угол не менее 9 градусов. В дистальном отделе стержня должно быть 5 отверстий, из них два круглых отверстия во фронтальной плоскости диаметром не более 4,5 мм, одно из которых с внутренней резьбой. Одно круглое отверстие в сагиттальной плоскости диаметром не более 4,5 мм, два отверстия в косой плоскости диаметром не более 4,5 мм, образующей при введенном винте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аксиально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угол 28 градусов по отношению к </w:t>
            </w:r>
            <w:proofErr w:type="spellStart"/>
            <w:r>
              <w:rPr>
                <w:color w:val="000000"/>
                <w:sz w:val="20"/>
                <w:szCs w:val="20"/>
              </w:rPr>
              <w:t>сагитальной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плоскости. Дистальный отдел стержня имеет контактную плоскость, расположенную по передней поверхности для блокирования дистального конца стержня без использования C-дуги, применяя метод компрессионно-рычажного наведения. Стержень должен быть диаметром 9,0 мм, длиной  300 мм. Стержень должен иметь упаковку завода изготовителя и </w:t>
            </w:r>
            <w:proofErr w:type="gramStart"/>
            <w:r>
              <w:rPr>
                <w:color w:val="000000"/>
                <w:sz w:val="20"/>
                <w:szCs w:val="20"/>
              </w:rPr>
              <w:t>маркировку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составе которой включены: название производителя,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283 456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Стержень большеберцовый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 9 мм, дл. 320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Интрамедуллярный гвоздь (стержень)  должен быть изготовлен из титанового сплава, соответствующего ISO 5832-3-2014 для изделий, имплантируемых в организм человека и иметь анодированное покрытие серого цвета. Интрамедуллярный стержень обеспечивает возможность проводить оперативное вмешательство, создавая максимально стабильную фиксацию при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переломах большеберцовой кости, </w:t>
            </w:r>
            <w:proofErr w:type="spellStart"/>
            <w:r>
              <w:rPr>
                <w:color w:val="000000"/>
                <w:sz w:val="20"/>
                <w:szCs w:val="20"/>
              </w:rPr>
              <w:t>метафизарных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переломах большеберцовой кости, определённых видах переломов </w:t>
            </w:r>
            <w:proofErr w:type="spellStart"/>
            <w:r>
              <w:rPr>
                <w:color w:val="000000"/>
                <w:sz w:val="20"/>
                <w:szCs w:val="20"/>
              </w:rPr>
              <w:t>тибиального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плато и переломов зоны пилона. Стержень в базовой комплектации имеет слепой винт. Сочетание многоплоскостных вариантов блокирования в стержне и технических характеристик губчатых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кости. Для этого в проксимальном отделе стержня должны быть 5 отверстий, из них: два отверстия диаметром не менее 5,0 мм во фронтальной плоскости, одно из которых овальное, для создания </w:t>
            </w:r>
            <w:proofErr w:type="spellStart"/>
            <w:r>
              <w:rPr>
                <w:color w:val="000000"/>
                <w:sz w:val="20"/>
                <w:szCs w:val="20"/>
              </w:rPr>
              <w:t>динамизации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второе круглое диаметром не менее 5,0 мм.  В сагиттальной плоскости одно круглое отверстие с внутренней резьбой диаметром не менее 5,0 мм в косо-восходящем направлении; в косых плоскостях 2 круглых отверстия диаметром не менее 5,0 мм.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Аксиально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стабильные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углы, образованные между сагиттальным и косыми винтами, равные и каждый из них составляет  не менее 41 градуса и не более 43 градусов. Проксимальный отдел стержня имеет угол не менее 9 градусов. В дистальном отделе стержня должно быть 5 отверстий, из них два круглых отверстия во фронтальной плоскости диаметром не более 4,5 мм, одно из которых с внутренней резьбой. Одно круглое отверстие в сагиттальной плоскости диаметром не более 4,5 мм, два отверстия в косой плоскости диаметром не более 4,5 мм, образующей при введенном винте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аксиально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угол 28 градусов по отношению к </w:t>
            </w:r>
            <w:proofErr w:type="spellStart"/>
            <w:r>
              <w:rPr>
                <w:color w:val="000000"/>
                <w:sz w:val="20"/>
                <w:szCs w:val="20"/>
              </w:rPr>
              <w:t>сагитальной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плоскости. Дистальный отдел стержня имеет контактную плоскость, расположенную по передней поверхности для блокирования дистального конца стержня без использования C-дуги, применяя метод компрессионно-рычажного наведения. Стержень должен быть диаметром 9,0 мм, длиной  320 мм. Стержень должен иметь упаковку завода изготовителя и </w:t>
            </w:r>
            <w:proofErr w:type="gramStart"/>
            <w:r>
              <w:rPr>
                <w:color w:val="000000"/>
                <w:sz w:val="20"/>
                <w:szCs w:val="20"/>
              </w:rPr>
              <w:t>маркировку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составе которой включены: название производителя,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354 320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Стержень большеберцовый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 9 мм, дл. 340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Интрамедуллярный гвоздь (стержень)  должен быть изготовлен из титанового сплава, соответствующего ISO 5832-3-2014 для изделий, имплантируемых в организм человека и иметь анодированное покрытие серого цвета. Интрамедуллярный стержень обеспечивает возможность проводить оперативное вмешательство, создавая максимально стабильную фиксацию при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переломах большеберцовой кости, </w:t>
            </w:r>
            <w:proofErr w:type="spellStart"/>
            <w:r>
              <w:rPr>
                <w:color w:val="000000"/>
                <w:sz w:val="20"/>
                <w:szCs w:val="20"/>
              </w:rPr>
              <w:t>метафизарных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переломах большеберцовой кости, определённых видах переломов </w:t>
            </w:r>
            <w:proofErr w:type="spellStart"/>
            <w:r>
              <w:rPr>
                <w:color w:val="000000"/>
                <w:sz w:val="20"/>
                <w:szCs w:val="20"/>
              </w:rPr>
              <w:t>тибиального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плато и переломов зоны пилона. Стержень в базовой комплектации имеет слепой винт.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кости. Для этого в проксимальном отделе стержня должны быть 5 отверстий, из них: два отверстия диаметром не менее 5,0 мм во фронтальной плоскости, одно из которых овальное, для создания </w:t>
            </w:r>
            <w:proofErr w:type="spellStart"/>
            <w:r>
              <w:rPr>
                <w:color w:val="000000"/>
                <w:sz w:val="20"/>
                <w:szCs w:val="20"/>
              </w:rPr>
              <w:t>динамизации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второе круглое диаметром не менее 5,0 мм.  В сагиттальной плоскости одно круглое отверстие с внутренней резьбой диаметром не менее 5,0 мм в косо-восходящем направлении; в косых плоскостях 2 круглых отверстия диаметром не менее 5,0 мм.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Аксиально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стабильные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углы, образованные между сагиттальным и косыми винтами, равные и каждый из них составляет  не менее 41 градуса и не более 43 градусов. Проксимальный отдел стержня имеет угол не менее 9 градусов. В дистальном отделе стержня должно быть 5 отверстий, из них два круглых отверстия во фронтальной плоскости диаметром не более 4,5 мм, одно из которых с внутренней резьбой. Одно круглое отверстие в сагиттальной плоскости диаметром не более 4,5 мм, два отверстия в косой плоскости диаметром не более 4,5 мм, образующей при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введенном винте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аксиально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угол 28 градусов по отношению к </w:t>
            </w:r>
            <w:proofErr w:type="spellStart"/>
            <w:r>
              <w:rPr>
                <w:color w:val="000000"/>
                <w:sz w:val="20"/>
                <w:szCs w:val="20"/>
              </w:rPr>
              <w:t>сагитальной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плоскости. Дистальный отдел стержня имеет контактную плоскость, расположенную по передней поверхности для блокирования дистального конца стержня без использования C-дуги, применяя метод компрессионно-рычажного наведения. Стержень должен быть диаметром 9,0 мм, длиной  340 мм. Стержень должен иметь упаковку завода изготовителя и </w:t>
            </w:r>
            <w:proofErr w:type="gramStart"/>
            <w:r>
              <w:rPr>
                <w:color w:val="000000"/>
                <w:sz w:val="20"/>
                <w:szCs w:val="20"/>
              </w:rPr>
              <w:t>маркировку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составе которой включены: название производителя,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708 640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Стержень большеберцовый </w:t>
            </w:r>
            <w:proofErr w:type="spellStart"/>
            <w:r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 9 мм, дл. 360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Интрамедуллярный гвоздь (стержень)  должен быть изготовлен из титанового сплава, соответствующего ISO 5832-3-2014 для изделий, имплантируемых в организм человека и иметь анодированное покрытие серого цвета. Интрамедуллярный стержень обеспечивает возможность проводить оперативное вмешательство, создавая максимально стабильную фиксацию при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переломах большеберцовой кости, </w:t>
            </w:r>
            <w:proofErr w:type="spellStart"/>
            <w:r>
              <w:rPr>
                <w:color w:val="000000"/>
                <w:sz w:val="20"/>
                <w:szCs w:val="20"/>
              </w:rPr>
              <w:t>метафизарных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переломах большеберцовой кости, определённых видах переломов </w:t>
            </w:r>
            <w:proofErr w:type="spellStart"/>
            <w:r>
              <w:rPr>
                <w:color w:val="000000"/>
                <w:sz w:val="20"/>
                <w:szCs w:val="20"/>
              </w:rPr>
              <w:t>тибиального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плато и переломов зоны пилона. Стержень в базовой комплектации имеет слепой винт.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кости. Для этого в проксимальном отделе стержня должны быть 5 отверстий, из них: два отверстия диаметром не менее 5,0 мм во фронтальной плоскости, одно из которых овальное, для создания </w:t>
            </w:r>
            <w:proofErr w:type="spellStart"/>
            <w:r>
              <w:rPr>
                <w:color w:val="000000"/>
                <w:sz w:val="20"/>
                <w:szCs w:val="20"/>
              </w:rPr>
              <w:t>динамизации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второе круглое диаметром не менее 5,0 мм.  В сагиттальной плоскости одно круглое отверстие с внутренней резьбой диаметром не менее 5,0 мм в косо-восходящем направлении; в косых плоскостях 2 круглых отверстия диаметром не менее 5,0 мм.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Аксиально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стабильные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углы, образованные между сагиттальным и косыми винтами, равные и каждый из них составляет  не менее 41 градуса и не более 43 градусов. Проксимальный отдел стержня имеет угол не менее 9 градусов. В дистальном отделе стержня должно быть 5 отверстий, из них два круглых отверстия во фронтальной плоскости диаметром не более 4,5 мм, одно из которых с внутренней резьбой. Одно круглое отверстие в сагиттальной плоскости диаметром не более 4,5 мм, два отверстия в косой плоскости диаметром не более 4,5 мм, образующей при введенном винте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аксиально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стабильный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угол 28 градусов по отношению к </w:t>
            </w:r>
            <w:proofErr w:type="spellStart"/>
            <w:r>
              <w:rPr>
                <w:color w:val="000000"/>
                <w:sz w:val="20"/>
                <w:szCs w:val="20"/>
              </w:rPr>
              <w:t>сагитальной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плоскости. Дистальный отдел стержня имеет контактную плоскость, расположенную по передней поверхности для блокирования дистального конца стержня без использования C-дуги, применяя метод компрессионно-рычажного наведения. Стержень должен быть диаметром 9,0 мм, длиной  360 мм. Стержень должен иметь упаковку завода изготовителя и </w:t>
            </w:r>
            <w:proofErr w:type="gramStart"/>
            <w:r>
              <w:rPr>
                <w:color w:val="000000"/>
                <w:sz w:val="20"/>
                <w:szCs w:val="20"/>
              </w:rPr>
              <w:t>маркировку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составе которой включены: название производителя, каталожный номер, длина и диаметр.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283 456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(Т15) 3,5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3,5 мм,  длиной 12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16 995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(Т15) 3,5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3,5 мм,  длиной 14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16 995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(Т15) 3,5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16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3,5 мм,  длиной 16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 w:rsidP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16 995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(Т15) 3,5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3,5 мм,  длиной 20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16 995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(Т15) 3,5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24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3,5 мм,  длиной 24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16 995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(Т15) 3,5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26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3,5 мм,  длиной 26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16 995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(Т15) 3,5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28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3,5 мм,  длиной 28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16 995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(Т15) 3,5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3,5 мм,  длиной 30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16 995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5,0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 длиной 30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33 475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5,0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34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 длиной 34 мм, с резьбой по </w:t>
            </w:r>
            <w:r>
              <w:rPr>
                <w:color w:val="000000"/>
                <w:sz w:val="20"/>
                <w:szCs w:val="20"/>
              </w:rPr>
              <w:lastRenderedPageBreak/>
              <w:t>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33 475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5,0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38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 длиной 38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33 475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5,0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 длиной 40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33 475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5,0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42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 длиной 42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66 950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5,0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44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 длиной 44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66 950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5,0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46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 длиной 46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66 950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блокирующий 5,0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Винт должен быть изготовлен из сплава титана, соответствующего ISO 5832-3-2014 для изделий, имплантируемых в организм человека и иметь анодированное покрытие серого цвета. Тело винта должно быть диаметром 5,0 мм,  длиной 50 мм, с резьбой по всей длине. Резьба должна быть мелкая кортикальная. Винт должен иметь режущие кромки (</w:t>
            </w:r>
            <w:proofErr w:type="spellStart"/>
            <w:r>
              <w:rPr>
                <w:color w:val="000000"/>
                <w:sz w:val="20"/>
                <w:szCs w:val="20"/>
              </w:rPr>
              <w:t>саморез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Самонарезающая резьба уменьшает время вкручивания винта. Головка винта должна быть конической с наружной метрической резьбой, иметь гладкое расширение в конце шляпки. Конструкция резьбы на головке винта должна минимизировать возможность заедания резьбы в шлице пластины  и его заклинивания по типу холодного пластического приваривания. Винт должен иметь шлиц типа </w:t>
            </w:r>
            <w:proofErr w:type="spellStart"/>
            <w:r>
              <w:rPr>
                <w:color w:val="000000"/>
                <w:sz w:val="20"/>
                <w:szCs w:val="20"/>
              </w:rPr>
              <w:t>Stardrive</w:t>
            </w:r>
            <w:proofErr w:type="spellEnd"/>
            <w:r>
              <w:rPr>
                <w:color w:val="000000"/>
                <w:sz w:val="20"/>
                <w:szCs w:val="20"/>
              </w:rPr>
              <w:t>, что улучшает передачу крутящего момента.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66 950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Дистальная латеральная бедренная пластина II, левая, 8 отв., 176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Дистальная латеральная бедренная пластина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Дистальная часть пластины должна быть </w:t>
            </w:r>
            <w:proofErr w:type="spellStart"/>
            <w:r>
              <w:rPr>
                <w:color w:val="000000"/>
                <w:sz w:val="20"/>
                <w:szCs w:val="20"/>
              </w:rPr>
              <w:t>преформированна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иметь расширение, соответствующее анатомической кривизне дистального отдела бедренной кости.  Пластина должна иметь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дистальной части должно быть расположено 6 круглых блокировочных отверстий под винты диаметром не менее 5,0 мм.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должно быть 8 отверстий, одно из них овальное, позволяющее проводить провизорную фиксацию кортикальными винтами диаметром не менее 4,5 мм,  введенными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винтов, остальные круглые  блокировочные отверстия под винты диаметром не менее 5,0 мм. Расстояние между центрами отверстий должно быть не менее 17,0 и не более 18,0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16,0 мм и не более 17,0 мм. Высота профиля должна составлять не менее 4,5 мм и не более 5,5 мм. Длина пластины должна быть 176 мм. Пластина должна быть для левой конечности и иметь индивидуальную упаковку с маркировкой </w:t>
            </w:r>
            <w:r>
              <w:rPr>
                <w:color w:val="000000"/>
                <w:sz w:val="20"/>
                <w:szCs w:val="20"/>
              </w:rPr>
              <w:lastRenderedPageBreak/>
              <w:t>завода изготовителя.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141 522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латеральная большеберцовая пластина VI, левая, 8 отв., 147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опорная для латерального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Проксимальная часть должна быть отогнута кнаружи и иметь расширение L-образной формы, соответствующее анатомической кривизне проксимального отдела большеберцовой кости. Пластина должна иметь в проксимальной части 3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пластины. Пластина должна иметь ограниченный контакт с костью и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L-образном расширении пластина должна иметь 3 круглых блокировочных отверстия под винты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8 отверстий, одно из них овальное, позволяющее проводить провизорную фиксацию кортикальным винтом диаметром не более 4,5 мм, введенным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под винты диаметром не менее 5,0 мм. Расстояние между центрами отверстий должно составлять не менее 15,0 мм и не более 16,0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11,5 мм и не более 12,5 мм. Высота профиля должна составлять не менее 3,0 мм и не более 4,0 мм. Длина пластины должна быть 147 мм. Пластина должна быть для левой конечности. Изделие должно иметь  индивидуальную упаковку с маркировкой завода изготовителя.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119 480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латеральная большеберцовая пластина VI, правая, 8 отв., 147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опорная для латерального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Проксимальная часть должна быть отогнута кнаружи и иметь расширение L-образной формы, соответствующее анатомической кривизне проксимального отдела большеберцовой кости. Пластина должна иметь в проксимальной части 3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пластины. Пластина должна иметь ограниченный контакт с костью и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L-образном расширении пластина должна иметь 3 круглых блокировочных отверстия под винты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8 отверстий, одно из них овальное, позволяющее проводить провизорную фиксацию кортикальным винтом диаметром не более 4,5 мм, введенным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под винты диаметром не менее 5,0 мм.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Расстояние между центрами отверстий должно составлять не менее 15,0 мм и не более 16,0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11,5 мм и не более 12,5 мм. Высота профиля должна составлять не менее 3,0 мм и не более 4,0 мм. Длина пластины должна быть 147 мм. Пластина должна быть для правой конечности. Изделие должно иметь  индивидуальную упаковку с маркировкой завода изготовителя.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119 480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медиальная Т-образная большеберцовая пластина II, 4 отв., левая, 81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для медиального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 Проксимальная часть должна быть отогнута кнаружи и иметь Т-образное расширение, соответствующее анатомической кривизне проксимального медиального отдела большеберцовой кости.  В проксимальной части пластина должна иметь  4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 и фиксировать к пластине </w:t>
            </w:r>
            <w:proofErr w:type="spellStart"/>
            <w:r>
              <w:rPr>
                <w:color w:val="000000"/>
                <w:sz w:val="20"/>
                <w:szCs w:val="20"/>
              </w:rPr>
              <w:t>мягкотканный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массив. Пластина должна иметь 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края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 В Т-образном расширении пластина имеет 3 круглых блокировочных отверстия для винтов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4 отверстия, одно из них овальное, позволяющее проводить провизорную фиксацию кортикальными винтами диаметром не менее 4,5 мм, введенными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для винтов диаметром 5,0 мм.  Расстояние между центрами отверстий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должно составлять не менее 16 мм и не более 17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12 мм и не более 13 мм. Высота профиля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 должна составлять не менее 3,5 мм и не более 4,0 мм. Длина пластины должна быть 81 мм. Пластина должна быть для левой конечности. Пластина должна иметь индивидуальную упаковку с маркировкой завода изготовителя.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53 045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медиальная Т-образная большеберцовая пластина II, 4 отв., правая, 81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для медиального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 Проксимальная часть должна быть отогнута кнаружи и иметь Т-образное расширение, соответствующее анатомической кривизне проксимального медиального отдела большеберцовой кости.  В проксимальной части пластина должна иметь  4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 и фиксировать к пластине </w:t>
            </w:r>
            <w:proofErr w:type="spellStart"/>
            <w:r>
              <w:rPr>
                <w:color w:val="000000"/>
                <w:sz w:val="20"/>
                <w:szCs w:val="20"/>
              </w:rPr>
              <w:t>мягкотканный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массив. Пластина должна иметь 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края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 В Т-образном расширении пластина имеет 3 круглых блокировочных отверстия для винтов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4 отверстия, одно из них овальное, позволяющее проводить провизорную фиксацию кортикальными винтами диаметром не менее 4,5 мм, введенными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для винтов диаметром 5,0 мм.  Расстояние между центрами отверстий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должно составлять не менее 16 мм и не более 17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12 мм и не более 13 мм. Высота профиля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 должна составлять не менее 3,5 мм и не более 4,0 мм. Длина пластины должна быть 81 мм. Пластина должна быть для правой конечности. Пластина должна иметь индивидуальную упаковку с маркировкой завода изготовителя.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53 045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медиальная Т-образная большеберцовая пластина II, 5 отв., левая, 97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для медиального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 Проксимальная часть должна быть отогнута кнаружи и иметь Т-образное расширение, соответствующее анатомической кривизне проксимального медиального отдела большеберцовой кости.  В проксимальной части пластина должна иметь  4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 и фиксировать к пластине </w:t>
            </w:r>
            <w:proofErr w:type="spellStart"/>
            <w:r>
              <w:rPr>
                <w:color w:val="000000"/>
                <w:sz w:val="20"/>
                <w:szCs w:val="20"/>
              </w:rPr>
              <w:t>мягкотканный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массив. Пластина должна иметь 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края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 В Т-образном расширении пластина имеет 3 круглых блокировочных отверстия для винтов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5 отверстий, одно из них овальное, позволяющее проводить провизорную фиксацию кортикальными винтами диаметром не менее 4,5 мм, введенными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для винтов диаметром 5,0 мм.  Расстояние между центрами отверстий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должно составлять не менее 16 мм и не более 17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12 мм и не более 13 мм. Высота профиля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 должна составлять не менее 3,5 мм и не более 4,0 мм. Длина пластины должна быть 97 мм. Пластина должна быть для левой конечности. Пластина должна иметь индивидуальную упаковку с маркировкой завода изготовителя.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53 045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медиальная Т-образная большеберцовая пластина II, 5 отв., правая, 97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для медиального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 Проксимальная часть должна быть отогнута кнаружи и иметь Т-образное расширение, соответствующее анатомической кривизне проксимального медиального отдела большеберцовой кости.  В проксимальной части пластина должна иметь  4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 и фиксировать к пластине </w:t>
            </w:r>
            <w:proofErr w:type="spellStart"/>
            <w:r>
              <w:rPr>
                <w:color w:val="000000"/>
                <w:sz w:val="20"/>
                <w:szCs w:val="20"/>
              </w:rPr>
              <w:t>мягкотканный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массив. Пластина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должна иметь 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края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 В Т-образном расширении пластина имеет 3 круглых блокировочных отверстия для винтов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5 отверстий, одно из них овальное, позволяющее проводить провизорную фиксацию кортикальными винтами диаметром не менее 4,5 мм, введенными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для винтов диаметром 5,0 мм.  Расстояние между центрами отверстий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должно составлять не менее 16 мм и не более 17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12 мм и не более 13 мм. Высота профиля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 должна составлять не менее 3,5 мм и не более 4,0 мм. Длина пластины должна быть 97 мм. Пластина должна быть для правой конечности. Пластина должна иметь индивидуальную упаковку с маркировкой завода изготовителя.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53 045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медиальная Т-образная большеберцовая пластина II, 6 отв., левая, 113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для медиального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 Проксимальная часть должна быть отогнута кнаружи и иметь Т-образное расширение, соответствующее анатомической кривизне проксимального медиального отдела большеберцовой кости.  В проксимальной части пластина должна иметь  4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 и фиксировать к пластине </w:t>
            </w:r>
            <w:proofErr w:type="spellStart"/>
            <w:r>
              <w:rPr>
                <w:color w:val="000000"/>
                <w:sz w:val="20"/>
                <w:szCs w:val="20"/>
              </w:rPr>
              <w:t>мягкотканный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массив. Пластина должна иметь 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края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 В Т-образном расширении пластина имеет 3 круглых блокировочных отверстия для винтов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6 отверстий, одно из них овальное, позволяющее проводить провизорную фиксацию кортикальными винтами диаметром не менее 4,5 мм, введенными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для винтов диаметром 5,0 мм.  Расстояние между центрами отверстий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должно составлять не менее 16 мм и не более 17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12 мм и не более 13 мм. Высота профиля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 должна составлять не менее 3,5 мм и не более 4,0 мм. Длина пластины должна быть 113 мм. Пластина должна быть для левой конечности. Пластина должна иметь индивидуальную упаковку с маркировкой завода изготовителя.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53 045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медиальная Т-</w:t>
            </w:r>
            <w:r>
              <w:rPr>
                <w:color w:val="000000"/>
                <w:sz w:val="20"/>
                <w:szCs w:val="20"/>
              </w:rPr>
              <w:lastRenderedPageBreak/>
              <w:t>образная большеберцовая пластина II, 6 отв., правая, 113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Пластина для медиального мыщелка голени должна быть изготовлена из нелегированного титана, соответствующего ISO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5832-2-2014 для изделий, имплантируемых в организм человека и  иметь анодированное покрытие серого цвета.  Проксимальная часть должна быть отогнута кнаружи и иметь Т-образное расширение, соответствующее анатомической кривизне проксимального медиального отдела большеберцовой кости.  В проксимальной части пластина должна иметь  4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 и фиксировать к пластине </w:t>
            </w:r>
            <w:proofErr w:type="spellStart"/>
            <w:r>
              <w:rPr>
                <w:color w:val="000000"/>
                <w:sz w:val="20"/>
                <w:szCs w:val="20"/>
              </w:rPr>
              <w:t>мягкотканный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массив. Пластина должна иметь 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края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 В Т-образном расширении пластина имеет 3 круглых блокировочных отверстия для винтов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6 отверстий, одно из них овальное, позволяющее проводить провизорную фиксацию кортикальными винтами диаметром не менее 4,5 мм, введенными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для винтов диаметром 5,0 мм.  Расстояние между центрами отверстий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должно составлять не менее 16 мм и не более 17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12 мм и не более 13 мм. Высота профиля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 должна составлять не менее 3,5 мм и не более 4,0 мм. Длина пластины должна быть 113 мм. Пластина должна быть для правой конечности. Пластина должна иметь индивидуальную упаковку с маркировкой завода изготовителя.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53 045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латеральная большеберцовая пластина VI, левая, 6 отв., 115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опорная для латерального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Проксимальная часть должна быть отогнута кнаружи и иметь расширение L-образной формы, соответствующее анатомической кривизне проксимального отдела большеберцовой кости. Пластина должна иметь в проксимальной части 3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пластины. Пластина должна иметь ограниченный контакт с костью и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L-образном расширении пластина должна иметь 3 круглых блокировочных отверстия под винты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6 отверстий, одно из них овальное, позволяющее проводить провизорную фиксацию кортикальным винтом диаметром не более 4,5 мм, введенным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под винты диаметром не менее 5,0 мм. Расстояние между центрами отверстий должно составлять не менее 15,0 мм и не более 16,0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должна составлять не менее 11,5 мм и не более 12,5 мм. Высота профиля должна составлять не менее 3,0 мм и не более 4,0 мм. Длина пластины должна быть 115 мм. Пластина должна быть для левой конечности. Изделие должно иметь  индивидуальную упаковку с маркировкой завода изготовителя.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119 480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латеральная большеберцовая пластина VI, правая, 6 отв., 115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опорная для латерального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Проксимальная часть должна быть отогнута кнаружи и иметь расширение L-образной формы, соответствующее анатомической кривизне проксимального отдела большеберцовой кости. Пластина должна иметь в проксимальной части 3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пластины. Пластина должна иметь ограниченный контакт с костью и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L-образном расширении пластина должна иметь 3 круглых блокировочных отверстия под винты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6 отверстий, одно из них овальное, позволяющее проводить провизорную фиксацию кортикальным винтом диаметром не более 4,5 мм, введенным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под винты диаметром не менее 5,0 мм. Расстояние между центрами отверстий должно составлять не менее 15,0 мм и не более 16,0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11,5 мм и не более 12,5 мм. Высота профиля должна составлять не менее 3,0 мм и не более 4,0 мм. Длина пластины должна быть 115 мм. Пластина должна быть для правой конечности. Изделие должно иметь  индивидуальную упаковку с маркировкой завода изготовителя.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119 480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латеральная большеберцовая пластина VI, левая, 8 отв., 147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опорная для латерального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Проксимальная часть должна быть отогнута кнаружи и иметь расширение L-образной формы, соответствующее анатомической кривизне проксимального отдела большеберцовой кости. Пластина должна иметь в проксимальной части 3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пластины. Пластина должна иметь ограниченный контакт с костью и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L-образном расширении пластина должна иметь 3 круглых блокировочных отверстия под винты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8 отверстий, одно из них овальное, позволяющее проводить провизорную фиксацию кортикальным винтом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диаметром не более 4,5 мм, введенным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под винты диаметром не менее 5,0 мм. Расстояние между центрами отверстий должно составлять не менее 15,0 мм и не более 16,0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11,5 мм и не более 12,5 мм. Высота профиля должна составлять не менее 3,0 мм и не более 4,0 мм. Длина пластины должна быть 147 мм. Пластина должна быть для левой конечности. Изделие должно иметь  индивидуальную упаковку с маркировкой завода изготовителя.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119 480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Проксимальная латеральная большеберцовая пластина VI, правая, 8 отв., 147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опорная для латерального мыщелка голени должна быть изготовлена из нелегированного титана, соответствующего ISO 5832-2-2014 для изделий, имплантируемых в организм человека и  иметь анодированное покрытие серого цвета. Проксимальная часть должна быть отогнута кнаружи и иметь расширение L-образной формы, соответствующее анатомической кривизне проксимального отдела большеберцовой кости. Пластина должна иметь в проксимальной части 3 отверстия для спиц </w:t>
            </w:r>
            <w:proofErr w:type="spellStart"/>
            <w:r>
              <w:rPr>
                <w:color w:val="000000"/>
                <w:sz w:val="20"/>
                <w:szCs w:val="20"/>
              </w:rPr>
              <w:t>Киршнера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позволяющих корректно выполнять позиционирование пластины. Пластина должна иметь ограниченный контакт с костью и возможность минимально </w:t>
            </w:r>
            <w:proofErr w:type="spellStart"/>
            <w:r>
              <w:rPr>
                <w:color w:val="000000"/>
                <w:sz w:val="20"/>
                <w:szCs w:val="20"/>
              </w:rPr>
              <w:t>инвазивной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L-образном расширении пластина должна иметь 3 круглых блокировочных отверстия под винты диаметром не менее 5,0 мм, позволяющих осуществлять через них </w:t>
            </w:r>
            <w:proofErr w:type="spellStart"/>
            <w:r>
              <w:rPr>
                <w:color w:val="000000"/>
                <w:sz w:val="20"/>
                <w:szCs w:val="20"/>
              </w:rPr>
              <w:t>многонаправленное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введение винтов для обеспечения  поддержки суставной поверхности. В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пластина должна иметь 8 отверстий, одно из них овальное, позволяющее проводить провизорную фиксацию кортикальным винтом диаметром не более 4,5 мм, введенным в нейтральном положении, либо обеспечивать эффект </w:t>
            </w:r>
            <w:proofErr w:type="spellStart"/>
            <w:r>
              <w:rPr>
                <w:color w:val="000000"/>
                <w:sz w:val="20"/>
                <w:szCs w:val="20"/>
              </w:rPr>
              <w:t>межфрагментарной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компрессии при эксцентричном положении винта, остальные круглые блокировочные отверстия под винты диаметром не менее 5,0 мм. Расстояние между центрами отверстий должно составлять не менее 15,0 мм и не более 16,0 мм.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диафизарной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части пластины должна составлять не менее 11,5 мм и не более 12,5 мм. Высота профиля должна составлять не менее 3,0 мм и не более 4,0 мм. Длина пластины должна быть 147 мм. Пластина должна быть для правой конечности. Изделие должно иметь  индивидуальную упаковку с маркировкой завода изготовителя.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119 480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самонарезающий 6.5x16/80мм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самонарезающий 6,5 - Винт длиной 80мм. Резьба диаметром 6,5мм. Резьба на винте неполная, длиной 16мм. Головка винта полупотайная, высотой 4,6мм под шестигранную отвертку S3,5, глубина шлица 2,8мм. Диаметр винта на промежутке между головкой и резьбой 4,5мм.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- 90°. Конусное начало имеет 1 подточку шириной 3мм под углом 30°.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45 780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самонарезающий 6.5x16/85мм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самонарезающий 6,5 - Винт длиной 85мм. Резьба диаметром 6,5мм. Резьба на винте неполная, длиной 16мм. Головка винта полупотайная, высотой 4,6мм под шестигранную отвертку S3,5, глубина шлица 2,8мм. Диаметр винта на промежутке между головкой и резьбой 4,5мм.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- 90°. Конусное начало имеет 1 подточку шириной 3мм под углом 30°.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45 780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самонарезающий 6.5x16/90мм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Винт </w:t>
            </w:r>
            <w:proofErr w:type="spellStart"/>
            <w:r>
              <w:rPr>
                <w:color w:val="000000"/>
                <w:sz w:val="20"/>
                <w:szCs w:val="20"/>
              </w:rPr>
              <w:t>спонгиозный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самонарезающий 6,5 - Винт длиной 90мм. Резьба диаметром 6,5мм. Резьба на винте неполная, длиной 16мм. Головка винта полупотайная, высотой 4,6мм под шестигранную отвертку S3,5, глубина шлица 2,8мм. Диаметр винта на промежутке между головкой и резьбой 4,5мм. Винт имеет самонарезающую </w:t>
            </w:r>
            <w:proofErr w:type="gramStart"/>
            <w:r>
              <w:rPr>
                <w:color w:val="000000"/>
                <w:sz w:val="20"/>
                <w:szCs w:val="20"/>
              </w:rPr>
              <w:t>резьбу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что позволяет фиксировать его без использования метчика. Рабочая часть винта имеет конусное начало, вершинный угол - 90°. Конусное начало имеет 1 подточку шириной 3мм под углом 30°.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45 780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Пластина реконструктивная прямая 8отв. L-94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реконструктивная прямая 8отв.L-94 – Толщина пластины 2мм. Длина пластины 94мм, ширина 10мм, ширина пластины между отверстиями 5,3мм. В оси пластины расположено 8 </w:t>
            </w:r>
            <w:proofErr w:type="spellStart"/>
            <w:r>
              <w:rPr>
                <w:color w:val="000000"/>
                <w:sz w:val="20"/>
                <w:szCs w:val="20"/>
              </w:rPr>
              <w:t>фазированых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нерезьбовых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отверстий, расстояние между отверстиями 12мм, диаметр отверстия 4мм, размер фаски 1,1х45°. Конструкция пластин должна позволять их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интраоперационный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изгиб.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205 980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Пластина реконструктивная прямая 10отв. L-118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Пластина реконструктивная прямая 10отв.L-118 – Толщина пластины 2мм. Длина пластины 118мм, ширина 10мм, ширина пластины между отверстиями 5,3мм. В оси пластины расположено 10 </w:t>
            </w:r>
            <w:proofErr w:type="spellStart"/>
            <w:r>
              <w:rPr>
                <w:color w:val="000000"/>
                <w:sz w:val="20"/>
                <w:szCs w:val="20"/>
              </w:rPr>
              <w:t>фазированых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нерезьбовых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отверстий, расстояние между отверстиями 12мм, диаметр отверстия 4мм, размер фаски 1,1х45°.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Конструкция пластин должна позволять их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интраоперационный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изгиб.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 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- 17, 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102 990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Сверло 3.2/180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 3,2/150 - Длина сверла 180мм, диаметр рабочей части сверла 3,2 мм длиной 45мм, вершинный угол 50°. Сверло имеет 2 острия, угол наклона спирали острия 25°. Хвостовик сверла цилиндрический. Материал изготовления: Медицинская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антикаррозийная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сталь,  соответствующая стандарту ISO 7153-1.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14 276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Сверло 3.2/250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 3,2/250 - Длина сверла 250мм, диаметр рабочей части сверла 3,2 мм длиной 45мм, вершинный угол 50°. Сверло имеет 2 острия, угол наклона спирали острия 25°. Хвостовик сверла цилиндрический. Материал изготовления: Медицинская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антикаррозийная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сталь,  соответствующая стандарту ISO 7153-1.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25 956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Сверло 2.5/300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Сверло 2,5/300 - Длина сверла 300мм, диаметр рабочей части сверла 2,5 мм длиной 45мм, вершинный угол 50°. Сверло имеет 2 острия, угол наклона спирали острия 25°. Хвостовик сверла цилиндрический. Материал изготовления: Медицинская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антикаррозийная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сталь,  соответствующая стандарту ISO 7153-1.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38 934 </w:t>
            </w:r>
          </w:p>
        </w:tc>
      </w:tr>
      <w:tr w:rsidR="00873F6A" w:rsidRPr="00AA3820" w:rsidTr="00873F6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Pr="00F5268A" w:rsidRDefault="00873F6A" w:rsidP="00680DFE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Пластина Y-образная реконструктивная 12отв.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Пластина Y-образная реконструктивная 12отв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рименяются для остеосинтеза при переломах костей, шириной  10 мм и толщиной 2 мм. Длина пластины 90 мм.  Количество отверстий под винты диаметром 3,5 мм 12отв. Конструкция пластин должна позволять их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интраоперационный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изгиб.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соответствующий международному стандарту ISO 5832 для изделий, имплантируемых в человеческий организм. Сталь технические нормы: ISO 5832/1; состав материала: C     - 0,03%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    - 1,0%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P     - 0,025%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S     - 0,01%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N    - 0,1% </w:t>
            </w:r>
            <w:proofErr w:type="spellStart"/>
            <w:r>
              <w:rPr>
                <w:color w:val="000000"/>
                <w:sz w:val="20"/>
                <w:szCs w:val="20"/>
              </w:rPr>
              <w:t>ma</w:t>
            </w:r>
            <w:proofErr w:type="gram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Cr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   - 17,0 - 19,0%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Mo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- 2,25 - 3,0%, </w:t>
            </w:r>
            <w:proofErr w:type="spellStart"/>
            <w:r>
              <w:rPr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   - 13,0 - 15,0%, </w:t>
            </w:r>
            <w:proofErr w:type="spellStart"/>
            <w:r>
              <w:rPr>
                <w:color w:val="000000"/>
                <w:sz w:val="20"/>
                <w:szCs w:val="20"/>
              </w:rPr>
              <w:t>Cu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   - 0,5% </w:t>
            </w:r>
            <w:proofErr w:type="spellStart"/>
            <w:r>
              <w:rPr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>   -остальное.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6A" w:rsidRDefault="00873F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136 810 </w:t>
            </w:r>
          </w:p>
        </w:tc>
      </w:tr>
    </w:tbl>
    <w:p w:rsidR="00B85E6B" w:rsidRDefault="00B85E6B" w:rsidP="009220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календарных дней</w:t>
      </w:r>
      <w:proofErr w:type="gramStart"/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 31.12.2022г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CC1614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>июл</w:t>
      </w:r>
      <w:r w:rsidR="005F37FD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CC1614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8873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bookmarkStart w:id="0" w:name="_GoBack"/>
      <w:bookmarkEnd w:id="0"/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>21 июл</w:t>
      </w:r>
      <w:r w:rsidR="005F37FD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улица</w:t>
      </w:r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</w:t>
      </w:r>
      <w:r w:rsidRPr="00FA217B">
        <w:rPr>
          <w:rStyle w:val="s1"/>
          <w:b w:val="0"/>
          <w:sz w:val="24"/>
          <w:szCs w:val="24"/>
        </w:rPr>
        <w:lastRenderedPageBreak/>
        <w:t>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lastRenderedPageBreak/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6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7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8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9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0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1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2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3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4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5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6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7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8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2478"/>
    <w:rsid w:val="00327859"/>
    <w:rsid w:val="00332611"/>
    <w:rsid w:val="00335D14"/>
    <w:rsid w:val="00335E59"/>
    <w:rsid w:val="00346A40"/>
    <w:rsid w:val="00347115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C6F3F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2223"/>
    <w:rsid w:val="004D3A64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2384"/>
    <w:rsid w:val="006434D6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45099"/>
    <w:rsid w:val="00857B04"/>
    <w:rsid w:val="008624D2"/>
    <w:rsid w:val="008727F4"/>
    <w:rsid w:val="008732B2"/>
    <w:rsid w:val="00873F6A"/>
    <w:rsid w:val="00877E32"/>
    <w:rsid w:val="008810BB"/>
    <w:rsid w:val="008846E8"/>
    <w:rsid w:val="008873C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E7378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103C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85E6B"/>
    <w:rsid w:val="00B928CA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E0954"/>
    <w:rsid w:val="00CE09BA"/>
    <w:rsid w:val="00CE30C9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C4DD9"/>
    <w:rsid w:val="00ED4A0F"/>
    <w:rsid w:val="00ED6CBE"/>
    <w:rsid w:val="00EE4634"/>
    <w:rsid w:val="00EE64C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DE"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E947-2158-4DF0-9B04-7CC3CE66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13360</Words>
  <Characters>76154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76ек6генп</cp:lastModifiedBy>
  <cp:revision>31</cp:revision>
  <cp:lastPrinted>2022-01-11T09:27:00Z</cp:lastPrinted>
  <dcterms:created xsi:type="dcterms:W3CDTF">2022-03-10T03:21:00Z</dcterms:created>
  <dcterms:modified xsi:type="dcterms:W3CDTF">2022-07-14T07:58:00Z</dcterms:modified>
</cp:coreProperties>
</file>