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8" w:rsidRPr="007F1FEC" w:rsidRDefault="00B95CE8" w:rsidP="007F1F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EC">
        <w:rPr>
          <w:rFonts w:ascii="Times New Roman" w:hAnsi="Times New Roman"/>
          <w:b/>
          <w:sz w:val="28"/>
          <w:szCs w:val="28"/>
        </w:rPr>
        <w:t>ОПЫТ ПРИМЕНЕНИЯ  ЧРЕСКОСТНОГО ОСТЕОСИНТЕЗА АППАРАТОМ ИЛИЗАРОВА И ВНУТРЕННОГО ОСТЕОСИНТЕЗА ФИКСАТОРАМИ С ЭФФЕКТОМ ПАМЯТЬЮ ФОРМЫ.</w:t>
      </w:r>
    </w:p>
    <w:p w:rsidR="00B95CE8" w:rsidRPr="007F1FEC" w:rsidRDefault="00B95CE8" w:rsidP="007F1F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EC">
        <w:rPr>
          <w:rFonts w:ascii="Times New Roman" w:hAnsi="Times New Roman"/>
          <w:i/>
          <w:sz w:val="28"/>
          <w:szCs w:val="28"/>
        </w:rPr>
        <w:t>Нурланов С.К., Касымбеков Т.О., Базиков Р.Р.</w:t>
      </w:r>
      <w:bookmarkStart w:id="0" w:name="_GoBack"/>
      <w:bookmarkEnd w:id="0"/>
    </w:p>
    <w:p w:rsidR="00B95CE8" w:rsidRPr="007F1FEC" w:rsidRDefault="00B95CE8" w:rsidP="007F1FE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F1FEC">
        <w:rPr>
          <w:rFonts w:ascii="Times New Roman" w:hAnsi="Times New Roman"/>
          <w:i/>
          <w:sz w:val="28"/>
          <w:szCs w:val="28"/>
        </w:rPr>
        <w:t>КГП на ПХВ «Павлодарская детская областная больница»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 xml:space="preserve">Остеосинтез в детской травматологии и ортопедии в стадии формирования. Еще не сформированы основные требования к имплантирующим элементам при внутренном остеосинтезе, хотя при чресткостном  остеосинтезе по Илизарову сформировались определенные требования, которым придерживается  курганская школа. Это: </w:t>
      </w:r>
    </w:p>
    <w:p w:rsidR="00B95CE8" w:rsidRPr="007F1FEC" w:rsidRDefault="00B95CE8" w:rsidP="007F1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Уменьшение в количественном отношении числа опор аппарата Илизарова</w:t>
      </w:r>
    </w:p>
    <w:p w:rsidR="00B95CE8" w:rsidRPr="007F1FEC" w:rsidRDefault="00B95CE8" w:rsidP="007F1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Увеличение стабильности отдельно взятой опоры за счет проведения дополнительных спиц.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Недостатки – нередко страдает шинирование сегмента.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По внутреннему остеосинтезу мы придерживаемся  международных принципов.</w:t>
      </w:r>
    </w:p>
    <w:p w:rsidR="00B95CE8" w:rsidRPr="007F1FEC" w:rsidRDefault="00B95CE8" w:rsidP="007F1F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Физиологичность имплантирующих элементов по коррозии и физическим свойствам в соотношении с костным сегментом</w:t>
      </w:r>
    </w:p>
    <w:p w:rsidR="00B95CE8" w:rsidRPr="007F1FEC" w:rsidRDefault="00B95CE8" w:rsidP="007F1F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Компактность имплантирующих конструкций, малоинвазивность оперативного доступа и имплантации.</w:t>
      </w:r>
    </w:p>
    <w:p w:rsidR="00B95CE8" w:rsidRPr="007F1FEC" w:rsidRDefault="00B95CE8" w:rsidP="007F1F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 xml:space="preserve"> При остеосинтезе наличие свойства межфрагментарной компрессии и достаточного шинирования.</w:t>
      </w:r>
    </w:p>
    <w:p w:rsidR="00B95CE8" w:rsidRPr="007F1FEC" w:rsidRDefault="00B95CE8" w:rsidP="007F1F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Расширение методов закрытой репозиции и  остеосинтеза с применением ЭОПа..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С 1985г был внедрен чрескостный остеосинтез по Илизарову в травматологии и ортопедии. В нашем травматологическом  отделении  расширили показания к чрескостному остеосинтезу, освоили разные модификаций. Накоплен большой опыт применения чресткотного остеосинтеза на всех сегментах при травматологии и ортопедии. В 1998г освоен внутренний остеосинтез фиксаторами с ЭПФ. Это сделано с целью повышения эффективности хирургического лечения при патологиях по травматологии и ортопедии. Разработали и внедрили методики по внутреннему остеосинтезу при поражениях плечевой кости Впервые в детской практике мы сочетали чрескостный остеосинтез и фиксаторы с ЭПФ в травматологии и ортопедии.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С применением данного остеосинтеза достигнуто следующее:</w:t>
      </w:r>
    </w:p>
    <w:p w:rsidR="00B95CE8" w:rsidRPr="007F1FEC" w:rsidRDefault="00B95CE8" w:rsidP="007F1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Улучшилась межфрагментарная стабильность.</w:t>
      </w:r>
    </w:p>
    <w:p w:rsidR="00B95CE8" w:rsidRPr="007F1FEC" w:rsidRDefault="00B95CE8" w:rsidP="007F1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 xml:space="preserve">Появилась возможность уменьшать количество опор аппарата Илизарова при остеосинтезе, не теряя при этом хорошего шинирования, даже при осложненных травмах  сегмента. </w:t>
      </w:r>
    </w:p>
    <w:p w:rsidR="00B95CE8" w:rsidRPr="007F1FEC" w:rsidRDefault="00B95CE8" w:rsidP="007F1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 xml:space="preserve">Аппарат Илизарова обеспечивал хорошее шинирование, фиксаторы с ЭПФ создали нужную межфрагментарную компрессию, что создавала оптимальные условия для остерепаративных процессов, сокращая сроки консолидации. 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 xml:space="preserve">На основе этих достижений по применениям сочетанного остеосинтеза мы получили инновационный патент на изобретение №22474 - двойной напряженный остеосинтез при лечении ложных суставов трубчатых костей у детей (заявка №2008/043-61, дата выдачи заявки 15.04.2008г.). 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Выводы:</w:t>
      </w:r>
    </w:p>
    <w:p w:rsidR="00B95CE8" w:rsidRPr="007F1FEC" w:rsidRDefault="00B95CE8" w:rsidP="007F1F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Широкое применение в практике чрескостного остеосинтеза аппаратом Илизарова позволяет не только успешно лечить травмы костной системы, но позволяет замещать приобретенные дефекты кости, этим самим снижая инвалидность при различных последствиях травм и заболеваний.</w:t>
      </w:r>
    </w:p>
    <w:p w:rsidR="00B95CE8" w:rsidRPr="007F1FEC" w:rsidRDefault="00B95CE8" w:rsidP="007F1F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Освоение остеосинтеза фиксаторами с эффектом памятью формы позволило:</w:t>
      </w:r>
    </w:p>
    <w:p w:rsidR="00B95CE8" w:rsidRPr="007F1FEC" w:rsidRDefault="00B95CE8" w:rsidP="007F1FE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 xml:space="preserve">А) значительно повысило эффективность хирургического лечения  при осложненных травмах. </w:t>
      </w:r>
    </w:p>
    <w:p w:rsidR="00B95CE8" w:rsidRPr="007F1FEC" w:rsidRDefault="00B95CE8" w:rsidP="007F1FE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EC">
        <w:rPr>
          <w:rFonts w:ascii="Times New Roman" w:hAnsi="Times New Roman"/>
          <w:sz w:val="28"/>
          <w:szCs w:val="28"/>
        </w:rPr>
        <w:t>Б) позволило успешно лечить приобретенные и врожденные ложные суставы.</w:t>
      </w:r>
    </w:p>
    <w:p w:rsidR="00B95CE8" w:rsidRPr="007F1FEC" w:rsidRDefault="00B95CE8" w:rsidP="007F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CE8" w:rsidRPr="007F1FEC" w:rsidSect="002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E8" w:rsidRDefault="00B95CE8">
      <w:r>
        <w:separator/>
      </w:r>
    </w:p>
  </w:endnote>
  <w:endnote w:type="continuationSeparator" w:id="1">
    <w:p w:rsidR="00B95CE8" w:rsidRDefault="00B9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E8" w:rsidRDefault="00B95CE8">
      <w:r>
        <w:separator/>
      </w:r>
    </w:p>
  </w:footnote>
  <w:footnote w:type="continuationSeparator" w:id="1">
    <w:p w:rsidR="00B95CE8" w:rsidRDefault="00B9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4E"/>
    <w:multiLevelType w:val="hybridMultilevel"/>
    <w:tmpl w:val="353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26880"/>
    <w:multiLevelType w:val="hybridMultilevel"/>
    <w:tmpl w:val="9EC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B1D4A"/>
    <w:multiLevelType w:val="hybridMultilevel"/>
    <w:tmpl w:val="B062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F1119D"/>
    <w:multiLevelType w:val="hybridMultilevel"/>
    <w:tmpl w:val="4D9E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5B"/>
    <w:rsid w:val="00135197"/>
    <w:rsid w:val="001E1767"/>
    <w:rsid w:val="002D08E9"/>
    <w:rsid w:val="003B7147"/>
    <w:rsid w:val="004F76B7"/>
    <w:rsid w:val="005F3F5B"/>
    <w:rsid w:val="00654179"/>
    <w:rsid w:val="00664F23"/>
    <w:rsid w:val="006940B5"/>
    <w:rsid w:val="0079245A"/>
    <w:rsid w:val="007F1FEC"/>
    <w:rsid w:val="0093698E"/>
    <w:rsid w:val="009A0A07"/>
    <w:rsid w:val="009D206C"/>
    <w:rsid w:val="009D465E"/>
    <w:rsid w:val="00A06FFC"/>
    <w:rsid w:val="00A82708"/>
    <w:rsid w:val="00B6543B"/>
    <w:rsid w:val="00B95CE8"/>
    <w:rsid w:val="00BE466F"/>
    <w:rsid w:val="00C84828"/>
    <w:rsid w:val="00DC058C"/>
    <w:rsid w:val="00E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1F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C4"/>
    <w:rPr>
      <w:lang w:eastAsia="en-US"/>
    </w:rPr>
  </w:style>
  <w:style w:type="paragraph" w:styleId="Footer">
    <w:name w:val="footer"/>
    <w:basedOn w:val="Normal"/>
    <w:link w:val="FooterChar"/>
    <w:uiPriority w:val="99"/>
    <w:rsid w:val="007F1F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D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2</Pages>
  <Words>462</Words>
  <Characters>2635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13</cp:revision>
  <dcterms:created xsi:type="dcterms:W3CDTF">2012-04-25T09:46:00Z</dcterms:created>
  <dcterms:modified xsi:type="dcterms:W3CDTF">2015-07-09T04:52:00Z</dcterms:modified>
</cp:coreProperties>
</file>