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133" w:rsidRPr="007C6E8D" w:rsidRDefault="00E80647" w:rsidP="007C6E8D">
      <w:pPr>
        <w:spacing w:after="0" w:line="240" w:lineRule="auto"/>
        <w:ind w:left="5245"/>
        <w:jc w:val="center"/>
        <w:rPr>
          <w:rFonts w:ascii="Times New Roman" w:hAnsi="Times New Roman" w:cs="Times New Roman"/>
          <w:sz w:val="28"/>
          <w:szCs w:val="28"/>
        </w:rPr>
      </w:pPr>
      <w:r w:rsidRPr="007C6E8D">
        <w:rPr>
          <w:rFonts w:ascii="Times New Roman" w:hAnsi="Times New Roman" w:cs="Times New Roman"/>
          <w:sz w:val="28"/>
          <w:szCs w:val="28"/>
        </w:rPr>
        <w:t>Утверждаю</w:t>
      </w:r>
    </w:p>
    <w:p w:rsidR="00E80647" w:rsidRPr="007C6E8D" w:rsidRDefault="00E80647" w:rsidP="007C6E8D">
      <w:pPr>
        <w:spacing w:after="0" w:line="240" w:lineRule="auto"/>
        <w:ind w:left="5245"/>
        <w:jc w:val="center"/>
        <w:rPr>
          <w:rFonts w:ascii="Times New Roman" w:hAnsi="Times New Roman" w:cs="Times New Roman"/>
          <w:sz w:val="28"/>
          <w:szCs w:val="28"/>
        </w:rPr>
      </w:pPr>
      <w:r w:rsidRPr="007C6E8D">
        <w:rPr>
          <w:rFonts w:ascii="Times New Roman" w:hAnsi="Times New Roman" w:cs="Times New Roman"/>
          <w:sz w:val="28"/>
          <w:szCs w:val="28"/>
        </w:rPr>
        <w:t>Главный врач</w:t>
      </w:r>
    </w:p>
    <w:p w:rsidR="00E80647" w:rsidRPr="007C6E8D" w:rsidRDefault="00E80647" w:rsidP="007C6E8D">
      <w:pPr>
        <w:spacing w:after="0" w:line="240" w:lineRule="auto"/>
        <w:ind w:left="5245"/>
        <w:jc w:val="center"/>
        <w:rPr>
          <w:rFonts w:ascii="Times New Roman" w:hAnsi="Times New Roman" w:cs="Times New Roman"/>
          <w:sz w:val="28"/>
          <w:szCs w:val="28"/>
        </w:rPr>
      </w:pPr>
      <w:r w:rsidRPr="007C6E8D">
        <w:rPr>
          <w:rFonts w:ascii="Times New Roman" w:hAnsi="Times New Roman" w:cs="Times New Roman"/>
          <w:sz w:val="28"/>
          <w:szCs w:val="28"/>
        </w:rPr>
        <w:t xml:space="preserve">КГП на ПХВ «Поликлиника «5 </w:t>
      </w:r>
      <w:proofErr w:type="spellStart"/>
      <w:r w:rsidRPr="007C6E8D">
        <w:rPr>
          <w:rFonts w:ascii="Times New Roman" w:hAnsi="Times New Roman" w:cs="Times New Roman"/>
          <w:sz w:val="28"/>
          <w:szCs w:val="28"/>
        </w:rPr>
        <w:t>г</w:t>
      </w:r>
      <w:proofErr w:type="gramStart"/>
      <w:r w:rsidRPr="007C6E8D">
        <w:rPr>
          <w:rFonts w:ascii="Times New Roman" w:hAnsi="Times New Roman" w:cs="Times New Roman"/>
          <w:sz w:val="28"/>
          <w:szCs w:val="28"/>
        </w:rPr>
        <w:t>.П</w:t>
      </w:r>
      <w:proofErr w:type="gramEnd"/>
      <w:r w:rsidRPr="007C6E8D">
        <w:rPr>
          <w:rFonts w:ascii="Times New Roman" w:hAnsi="Times New Roman" w:cs="Times New Roman"/>
          <w:sz w:val="28"/>
          <w:szCs w:val="28"/>
        </w:rPr>
        <w:t>авлодара</w:t>
      </w:r>
      <w:proofErr w:type="spellEnd"/>
      <w:r w:rsidRPr="007C6E8D">
        <w:rPr>
          <w:rFonts w:ascii="Times New Roman" w:hAnsi="Times New Roman" w:cs="Times New Roman"/>
          <w:sz w:val="28"/>
          <w:szCs w:val="28"/>
        </w:rPr>
        <w:t>»</w:t>
      </w:r>
    </w:p>
    <w:p w:rsidR="00E80647" w:rsidRDefault="00E80647" w:rsidP="007C6E8D">
      <w:pPr>
        <w:spacing w:after="0" w:line="240" w:lineRule="auto"/>
        <w:ind w:left="5245"/>
        <w:jc w:val="center"/>
        <w:rPr>
          <w:rFonts w:ascii="Times New Roman" w:hAnsi="Times New Roman" w:cs="Times New Roman"/>
          <w:sz w:val="28"/>
          <w:szCs w:val="28"/>
        </w:rPr>
      </w:pPr>
      <w:r w:rsidRPr="007C6E8D">
        <w:rPr>
          <w:rFonts w:ascii="Times New Roman" w:hAnsi="Times New Roman" w:cs="Times New Roman"/>
          <w:sz w:val="28"/>
          <w:szCs w:val="28"/>
        </w:rPr>
        <w:t xml:space="preserve">_________________ </w:t>
      </w:r>
      <w:proofErr w:type="spellStart"/>
      <w:r w:rsidRPr="007C6E8D">
        <w:rPr>
          <w:rFonts w:ascii="Times New Roman" w:hAnsi="Times New Roman" w:cs="Times New Roman"/>
          <w:sz w:val="28"/>
          <w:szCs w:val="28"/>
        </w:rPr>
        <w:t>Жапарбеков</w:t>
      </w:r>
      <w:proofErr w:type="spellEnd"/>
      <w:r w:rsidRPr="007C6E8D">
        <w:rPr>
          <w:rFonts w:ascii="Times New Roman" w:hAnsi="Times New Roman" w:cs="Times New Roman"/>
          <w:sz w:val="28"/>
          <w:szCs w:val="28"/>
        </w:rPr>
        <w:t xml:space="preserve"> А.Н.</w:t>
      </w:r>
    </w:p>
    <w:p w:rsidR="00541CF7" w:rsidRPr="007C6E8D" w:rsidRDefault="00541CF7" w:rsidP="007C6E8D">
      <w:pPr>
        <w:spacing w:after="0" w:line="240" w:lineRule="auto"/>
        <w:ind w:left="5245"/>
        <w:jc w:val="center"/>
        <w:rPr>
          <w:rFonts w:ascii="Times New Roman" w:hAnsi="Times New Roman" w:cs="Times New Roman"/>
          <w:sz w:val="28"/>
          <w:szCs w:val="28"/>
        </w:rPr>
      </w:pPr>
      <w:bookmarkStart w:id="0" w:name="_GoBack"/>
      <w:bookmarkEnd w:id="0"/>
    </w:p>
    <w:p w:rsidR="00E80647" w:rsidRPr="007C6E8D" w:rsidRDefault="00E80647" w:rsidP="007C6E8D">
      <w:pPr>
        <w:spacing w:after="0" w:line="240" w:lineRule="auto"/>
        <w:ind w:left="5245"/>
        <w:jc w:val="center"/>
        <w:rPr>
          <w:rFonts w:ascii="Times New Roman" w:hAnsi="Times New Roman" w:cs="Times New Roman"/>
          <w:sz w:val="28"/>
          <w:szCs w:val="28"/>
        </w:rPr>
      </w:pPr>
      <w:r w:rsidRPr="007C6E8D">
        <w:rPr>
          <w:rFonts w:ascii="Times New Roman" w:hAnsi="Times New Roman" w:cs="Times New Roman"/>
          <w:sz w:val="28"/>
          <w:szCs w:val="28"/>
        </w:rPr>
        <w:t>«_____» января 2019г.</w:t>
      </w:r>
    </w:p>
    <w:p w:rsidR="00E80647" w:rsidRPr="007C6E8D" w:rsidRDefault="00E80647" w:rsidP="007C6E8D">
      <w:pPr>
        <w:spacing w:after="0" w:line="240" w:lineRule="auto"/>
        <w:rPr>
          <w:rFonts w:ascii="Times New Roman" w:hAnsi="Times New Roman" w:cs="Times New Roman"/>
          <w:sz w:val="28"/>
          <w:szCs w:val="28"/>
        </w:rPr>
      </w:pPr>
    </w:p>
    <w:p w:rsidR="00E80647" w:rsidRPr="007C6E8D" w:rsidRDefault="00E80647">
      <w:pPr>
        <w:rPr>
          <w:rFonts w:ascii="Times New Roman" w:hAnsi="Times New Roman" w:cs="Times New Roman"/>
          <w:sz w:val="28"/>
          <w:szCs w:val="28"/>
        </w:rPr>
      </w:pPr>
    </w:p>
    <w:p w:rsidR="00E80647" w:rsidRDefault="00E80647" w:rsidP="00E80647">
      <w:pPr>
        <w:jc w:val="center"/>
        <w:rPr>
          <w:rFonts w:ascii="Times New Roman" w:hAnsi="Times New Roman" w:cs="Times New Roman"/>
          <w:b/>
          <w:caps/>
          <w:sz w:val="28"/>
          <w:szCs w:val="28"/>
        </w:rPr>
      </w:pPr>
      <w:r w:rsidRPr="00541CF7">
        <w:rPr>
          <w:rFonts w:ascii="Times New Roman" w:hAnsi="Times New Roman" w:cs="Times New Roman"/>
          <w:b/>
          <w:caps/>
          <w:sz w:val="28"/>
          <w:szCs w:val="28"/>
        </w:rPr>
        <w:t>Положение  об амортизационном фонде</w:t>
      </w:r>
    </w:p>
    <w:p w:rsidR="00541CF7" w:rsidRPr="00541CF7" w:rsidRDefault="00541CF7" w:rsidP="00E80647">
      <w:pPr>
        <w:jc w:val="center"/>
        <w:rPr>
          <w:rFonts w:ascii="Times New Roman" w:hAnsi="Times New Roman" w:cs="Times New Roman"/>
          <w:b/>
          <w:caps/>
          <w:sz w:val="28"/>
          <w:szCs w:val="28"/>
        </w:rPr>
      </w:pPr>
    </w:p>
    <w:p w:rsidR="00541CF7" w:rsidRDefault="00541CF7" w:rsidP="00541CF7">
      <w:pPr>
        <w:spacing w:after="0"/>
        <w:ind w:firstLine="708"/>
        <w:jc w:val="both"/>
        <w:rPr>
          <w:rFonts w:ascii="Times New Roman" w:hAnsi="Times New Roman" w:cs="Times New Roman"/>
          <w:sz w:val="28"/>
          <w:szCs w:val="28"/>
        </w:rPr>
      </w:pPr>
      <w:r w:rsidRPr="007C6E8D">
        <w:rPr>
          <w:rFonts w:ascii="Times New Roman" w:hAnsi="Times New Roman" w:cs="Times New Roman"/>
          <w:sz w:val="28"/>
          <w:szCs w:val="28"/>
        </w:rPr>
        <w:t xml:space="preserve">Амортизационный фонд-это  денежные средства, накопленные за счет амортизационных отчислений основных средств (основных фондов) и предназначенные для восстановления изношенных основных средств и приобретения новых. </w:t>
      </w:r>
    </w:p>
    <w:p w:rsidR="00541CF7" w:rsidRDefault="00541CF7" w:rsidP="00541CF7">
      <w:pPr>
        <w:spacing w:after="0"/>
        <w:ind w:firstLine="708"/>
        <w:jc w:val="both"/>
        <w:rPr>
          <w:rFonts w:ascii="Times New Roman" w:hAnsi="Times New Roman" w:cs="Times New Roman"/>
          <w:sz w:val="28"/>
        </w:rPr>
      </w:pPr>
      <w:r w:rsidRPr="00052E56">
        <w:rPr>
          <w:rFonts w:ascii="Times New Roman" w:hAnsi="Times New Roman" w:cs="Times New Roman"/>
          <w:sz w:val="28"/>
        </w:rPr>
        <w:t>О</w:t>
      </w:r>
      <w:r>
        <w:rPr>
          <w:rFonts w:ascii="Times New Roman" w:hAnsi="Times New Roman" w:cs="Times New Roman"/>
          <w:sz w:val="28"/>
        </w:rPr>
        <w:t>сновные средства, участвующие в коммерческой деятельности  Предприятия (производственные здания и сооружения, здания офисов, производственное оборудование основного производства, производственное оборудование вспомогательных производств и т.п.), а также основные средства, которые участвуют в инвестиционной деятельности (сдача  в аренду)</w:t>
      </w:r>
      <w:proofErr w:type="gramStart"/>
      <w:r>
        <w:rPr>
          <w:rFonts w:ascii="Times New Roman" w:hAnsi="Times New Roman" w:cs="Times New Roman"/>
          <w:sz w:val="28"/>
        </w:rPr>
        <w:t>,п</w:t>
      </w:r>
      <w:proofErr w:type="gramEnd"/>
      <w:r>
        <w:rPr>
          <w:rFonts w:ascii="Times New Roman" w:hAnsi="Times New Roman" w:cs="Times New Roman"/>
          <w:sz w:val="28"/>
        </w:rPr>
        <w:t>ереносят свою стоимость на себестоимость готовой продукции и расходы на инвестиционную деятельность через амортизационные отчисления.</w:t>
      </w:r>
    </w:p>
    <w:p w:rsidR="00541CF7" w:rsidRDefault="00541CF7" w:rsidP="00541CF7">
      <w:pPr>
        <w:spacing w:after="0"/>
        <w:ind w:firstLine="708"/>
        <w:jc w:val="both"/>
        <w:rPr>
          <w:rFonts w:ascii="Times New Roman" w:hAnsi="Times New Roman" w:cs="Times New Roman"/>
          <w:sz w:val="28"/>
        </w:rPr>
      </w:pPr>
      <w:r>
        <w:rPr>
          <w:rFonts w:ascii="Times New Roman" w:hAnsi="Times New Roman" w:cs="Times New Roman"/>
          <w:sz w:val="28"/>
        </w:rPr>
        <w:t xml:space="preserve">Амортизация основных средств </w:t>
      </w:r>
      <w:proofErr w:type="gramStart"/>
      <w:r>
        <w:rPr>
          <w:rFonts w:ascii="Times New Roman" w:hAnsi="Times New Roman" w:cs="Times New Roman"/>
          <w:sz w:val="28"/>
        </w:rPr>
        <w:t>отражается на счет</w:t>
      </w:r>
      <w:proofErr w:type="gramEnd"/>
      <w:r>
        <w:rPr>
          <w:rFonts w:ascii="Times New Roman" w:hAnsi="Times New Roman" w:cs="Times New Roman"/>
          <w:sz w:val="28"/>
        </w:rPr>
        <w:t xml:space="preserve"> 2420 «Амортизация основных средств».</w:t>
      </w:r>
    </w:p>
    <w:p w:rsidR="00541CF7" w:rsidRDefault="00541CF7" w:rsidP="00541CF7">
      <w:pPr>
        <w:spacing w:after="0"/>
        <w:ind w:firstLine="708"/>
        <w:jc w:val="both"/>
        <w:rPr>
          <w:rFonts w:ascii="Times New Roman" w:hAnsi="Times New Roman" w:cs="Times New Roman"/>
          <w:sz w:val="28"/>
        </w:rPr>
      </w:pPr>
      <w:r>
        <w:rPr>
          <w:rFonts w:ascii="Times New Roman" w:hAnsi="Times New Roman" w:cs="Times New Roman"/>
          <w:sz w:val="28"/>
        </w:rPr>
        <w:t>Амортизационные отчисления признаются за каждый  отчетный период как расход. В Предприятии начисление амортизации производится по всем видам основных средств, которые участвуют в коммерческой деятельности  предприятия, с использованием  равномерного (прямолинейного) метода  списания стоимости, исходя из первоначальной стоимости объектов.</w:t>
      </w:r>
    </w:p>
    <w:p w:rsidR="00541CF7" w:rsidRDefault="00541CF7" w:rsidP="00541CF7">
      <w:pPr>
        <w:spacing w:after="0"/>
        <w:ind w:firstLine="708"/>
        <w:jc w:val="both"/>
        <w:rPr>
          <w:rFonts w:ascii="Times New Roman" w:hAnsi="Times New Roman" w:cs="Times New Roman"/>
          <w:sz w:val="28"/>
        </w:rPr>
      </w:pPr>
      <w:r w:rsidRPr="004F1D70">
        <w:rPr>
          <w:rFonts w:ascii="Times New Roman" w:hAnsi="Times New Roman" w:cs="Times New Roman"/>
          <w:sz w:val="28"/>
        </w:rPr>
        <w:t xml:space="preserve"> </w:t>
      </w:r>
      <w:r>
        <w:rPr>
          <w:rFonts w:ascii="Times New Roman" w:hAnsi="Times New Roman" w:cs="Times New Roman"/>
          <w:sz w:val="28"/>
        </w:rPr>
        <w:t>В целях определения полезного использования, объекты основных средств объединяются  в амортизационные группы. Размер амортизационных отчислений по основным средствам определяется следующими показателями:</w:t>
      </w:r>
    </w:p>
    <w:p w:rsidR="00541CF7" w:rsidRPr="00C31FF0" w:rsidRDefault="00541CF7" w:rsidP="00541CF7">
      <w:pPr>
        <w:spacing w:after="0"/>
        <w:ind w:firstLine="708"/>
        <w:jc w:val="both"/>
        <w:rPr>
          <w:rFonts w:ascii="Times New Roman" w:hAnsi="Times New Roman" w:cs="Times New Roman"/>
          <w:sz w:val="28"/>
        </w:rPr>
      </w:pPr>
    </w:p>
    <w:tbl>
      <w:tblPr>
        <w:tblStyle w:val="a3"/>
        <w:tblpPr w:leftFromText="180" w:rightFromText="180" w:vertAnchor="text" w:horzAnchor="margin" w:tblpXSpec="center" w:tblpY="387"/>
        <w:tblW w:w="0" w:type="auto"/>
        <w:tblLook w:val="04A0" w:firstRow="1" w:lastRow="0" w:firstColumn="1" w:lastColumn="0" w:noHBand="0" w:noVBand="1"/>
      </w:tblPr>
      <w:tblGrid>
        <w:gridCol w:w="4503"/>
        <w:gridCol w:w="1984"/>
        <w:gridCol w:w="2019"/>
      </w:tblGrid>
      <w:tr w:rsidR="00541CF7" w:rsidTr="00FA6A09">
        <w:tc>
          <w:tcPr>
            <w:tcW w:w="4503" w:type="dxa"/>
          </w:tcPr>
          <w:p w:rsidR="00541CF7" w:rsidRPr="00F30101" w:rsidRDefault="00541CF7" w:rsidP="00FA6A09">
            <w:pPr>
              <w:jc w:val="center"/>
              <w:rPr>
                <w:rFonts w:ascii="Times New Roman" w:hAnsi="Times New Roman" w:cs="Times New Roman"/>
                <w:b/>
                <w:sz w:val="28"/>
              </w:rPr>
            </w:pPr>
            <w:r w:rsidRPr="00F30101">
              <w:rPr>
                <w:rFonts w:ascii="Times New Roman" w:hAnsi="Times New Roman" w:cs="Times New Roman"/>
                <w:b/>
                <w:sz w:val="28"/>
              </w:rPr>
              <w:t>Амортизационная группа</w:t>
            </w:r>
          </w:p>
        </w:tc>
        <w:tc>
          <w:tcPr>
            <w:tcW w:w="1984" w:type="dxa"/>
          </w:tcPr>
          <w:p w:rsidR="00541CF7" w:rsidRPr="00F30101" w:rsidRDefault="00541CF7" w:rsidP="00FA6A09">
            <w:pPr>
              <w:jc w:val="center"/>
              <w:rPr>
                <w:rFonts w:ascii="Times New Roman" w:hAnsi="Times New Roman" w:cs="Times New Roman"/>
                <w:b/>
                <w:sz w:val="28"/>
              </w:rPr>
            </w:pPr>
            <w:r w:rsidRPr="00F30101">
              <w:rPr>
                <w:rFonts w:ascii="Times New Roman" w:hAnsi="Times New Roman" w:cs="Times New Roman"/>
                <w:b/>
                <w:sz w:val="28"/>
              </w:rPr>
              <w:t>Срок полезной службы (лет)</w:t>
            </w:r>
          </w:p>
        </w:tc>
        <w:tc>
          <w:tcPr>
            <w:tcW w:w="2019" w:type="dxa"/>
          </w:tcPr>
          <w:p w:rsidR="00541CF7" w:rsidRPr="00F30101" w:rsidRDefault="00541CF7" w:rsidP="00FA6A09">
            <w:pPr>
              <w:jc w:val="center"/>
              <w:rPr>
                <w:rFonts w:ascii="Times New Roman" w:hAnsi="Times New Roman" w:cs="Times New Roman"/>
                <w:b/>
                <w:sz w:val="28"/>
              </w:rPr>
            </w:pPr>
            <w:r w:rsidRPr="00F30101">
              <w:rPr>
                <w:rFonts w:ascii="Times New Roman" w:hAnsi="Times New Roman" w:cs="Times New Roman"/>
                <w:b/>
                <w:sz w:val="28"/>
              </w:rPr>
              <w:t>Годовая норма амортизации</w:t>
            </w:r>
            <w:proofErr w:type="gramStart"/>
            <w:r w:rsidRPr="00F30101">
              <w:rPr>
                <w:rFonts w:ascii="Times New Roman" w:hAnsi="Times New Roman" w:cs="Times New Roman"/>
                <w:b/>
                <w:sz w:val="28"/>
              </w:rPr>
              <w:t xml:space="preserve"> (%)</w:t>
            </w:r>
            <w:proofErr w:type="gramEnd"/>
          </w:p>
        </w:tc>
      </w:tr>
      <w:tr w:rsidR="00541CF7" w:rsidTr="00FA6A09">
        <w:tc>
          <w:tcPr>
            <w:tcW w:w="4503" w:type="dxa"/>
          </w:tcPr>
          <w:p w:rsidR="00541CF7" w:rsidRDefault="00541CF7" w:rsidP="00FA6A09">
            <w:pPr>
              <w:jc w:val="both"/>
              <w:rPr>
                <w:rFonts w:ascii="Times New Roman" w:hAnsi="Times New Roman" w:cs="Times New Roman"/>
                <w:sz w:val="28"/>
              </w:rPr>
            </w:pPr>
            <w:r>
              <w:rPr>
                <w:rFonts w:ascii="Times New Roman" w:hAnsi="Times New Roman" w:cs="Times New Roman"/>
                <w:sz w:val="28"/>
              </w:rPr>
              <w:t xml:space="preserve">Здания </w:t>
            </w:r>
          </w:p>
        </w:tc>
        <w:tc>
          <w:tcPr>
            <w:tcW w:w="1984" w:type="dxa"/>
          </w:tcPr>
          <w:p w:rsidR="00541CF7" w:rsidRDefault="00541CF7" w:rsidP="00FA6A09">
            <w:pPr>
              <w:jc w:val="center"/>
              <w:rPr>
                <w:rFonts w:ascii="Times New Roman" w:hAnsi="Times New Roman" w:cs="Times New Roman"/>
                <w:sz w:val="28"/>
              </w:rPr>
            </w:pPr>
            <w:r>
              <w:rPr>
                <w:rFonts w:ascii="Times New Roman" w:hAnsi="Times New Roman" w:cs="Times New Roman"/>
                <w:sz w:val="28"/>
              </w:rPr>
              <w:t>50</w:t>
            </w:r>
          </w:p>
        </w:tc>
        <w:tc>
          <w:tcPr>
            <w:tcW w:w="2019" w:type="dxa"/>
          </w:tcPr>
          <w:p w:rsidR="00541CF7" w:rsidRDefault="00541CF7" w:rsidP="00FA6A09">
            <w:pPr>
              <w:jc w:val="center"/>
              <w:rPr>
                <w:rFonts w:ascii="Times New Roman" w:hAnsi="Times New Roman" w:cs="Times New Roman"/>
                <w:sz w:val="28"/>
              </w:rPr>
            </w:pPr>
            <w:r>
              <w:rPr>
                <w:rFonts w:ascii="Times New Roman" w:hAnsi="Times New Roman" w:cs="Times New Roman"/>
                <w:sz w:val="28"/>
              </w:rPr>
              <w:t>2,0</w:t>
            </w:r>
          </w:p>
        </w:tc>
      </w:tr>
      <w:tr w:rsidR="00541CF7" w:rsidTr="00FA6A09">
        <w:tc>
          <w:tcPr>
            <w:tcW w:w="4503" w:type="dxa"/>
          </w:tcPr>
          <w:p w:rsidR="00541CF7" w:rsidRDefault="00541CF7" w:rsidP="00FA6A09">
            <w:pPr>
              <w:jc w:val="both"/>
              <w:rPr>
                <w:rFonts w:ascii="Times New Roman" w:hAnsi="Times New Roman" w:cs="Times New Roman"/>
                <w:sz w:val="28"/>
              </w:rPr>
            </w:pPr>
            <w:r>
              <w:rPr>
                <w:rFonts w:ascii="Times New Roman" w:hAnsi="Times New Roman" w:cs="Times New Roman"/>
                <w:sz w:val="28"/>
              </w:rPr>
              <w:t xml:space="preserve">Сооружения </w:t>
            </w:r>
          </w:p>
        </w:tc>
        <w:tc>
          <w:tcPr>
            <w:tcW w:w="1984" w:type="dxa"/>
          </w:tcPr>
          <w:p w:rsidR="00541CF7" w:rsidRDefault="00541CF7" w:rsidP="00FA6A09">
            <w:pPr>
              <w:jc w:val="center"/>
              <w:rPr>
                <w:rFonts w:ascii="Times New Roman" w:hAnsi="Times New Roman" w:cs="Times New Roman"/>
                <w:sz w:val="28"/>
              </w:rPr>
            </w:pPr>
            <w:r>
              <w:rPr>
                <w:rFonts w:ascii="Times New Roman" w:hAnsi="Times New Roman" w:cs="Times New Roman"/>
                <w:sz w:val="28"/>
              </w:rPr>
              <w:t>20</w:t>
            </w:r>
          </w:p>
        </w:tc>
        <w:tc>
          <w:tcPr>
            <w:tcW w:w="2019" w:type="dxa"/>
          </w:tcPr>
          <w:p w:rsidR="00541CF7" w:rsidRDefault="00541CF7" w:rsidP="00FA6A09">
            <w:pPr>
              <w:jc w:val="center"/>
              <w:rPr>
                <w:rFonts w:ascii="Times New Roman" w:hAnsi="Times New Roman" w:cs="Times New Roman"/>
                <w:sz w:val="28"/>
              </w:rPr>
            </w:pPr>
            <w:r>
              <w:rPr>
                <w:rFonts w:ascii="Times New Roman" w:hAnsi="Times New Roman" w:cs="Times New Roman"/>
                <w:sz w:val="28"/>
              </w:rPr>
              <w:t>5,0</w:t>
            </w:r>
          </w:p>
        </w:tc>
      </w:tr>
      <w:tr w:rsidR="00541CF7" w:rsidTr="00FA6A09">
        <w:tc>
          <w:tcPr>
            <w:tcW w:w="4503" w:type="dxa"/>
          </w:tcPr>
          <w:p w:rsidR="00541CF7" w:rsidRDefault="00541CF7" w:rsidP="00FA6A09">
            <w:pPr>
              <w:jc w:val="both"/>
              <w:rPr>
                <w:rFonts w:ascii="Times New Roman" w:hAnsi="Times New Roman" w:cs="Times New Roman"/>
                <w:sz w:val="28"/>
              </w:rPr>
            </w:pPr>
            <w:r>
              <w:rPr>
                <w:rFonts w:ascii="Times New Roman" w:hAnsi="Times New Roman" w:cs="Times New Roman"/>
                <w:sz w:val="28"/>
              </w:rPr>
              <w:t>Машины и оборудование</w:t>
            </w:r>
          </w:p>
        </w:tc>
        <w:tc>
          <w:tcPr>
            <w:tcW w:w="1984" w:type="dxa"/>
          </w:tcPr>
          <w:p w:rsidR="00541CF7" w:rsidRDefault="00541CF7" w:rsidP="00FA6A09">
            <w:pPr>
              <w:jc w:val="center"/>
              <w:rPr>
                <w:rFonts w:ascii="Times New Roman" w:hAnsi="Times New Roman" w:cs="Times New Roman"/>
                <w:sz w:val="28"/>
              </w:rPr>
            </w:pPr>
            <w:r>
              <w:rPr>
                <w:rFonts w:ascii="Times New Roman" w:hAnsi="Times New Roman" w:cs="Times New Roman"/>
                <w:sz w:val="28"/>
              </w:rPr>
              <w:t>10</w:t>
            </w:r>
          </w:p>
        </w:tc>
        <w:tc>
          <w:tcPr>
            <w:tcW w:w="2019" w:type="dxa"/>
          </w:tcPr>
          <w:p w:rsidR="00541CF7" w:rsidRDefault="00541CF7" w:rsidP="00FA6A09">
            <w:pPr>
              <w:jc w:val="center"/>
              <w:rPr>
                <w:rFonts w:ascii="Times New Roman" w:hAnsi="Times New Roman" w:cs="Times New Roman"/>
                <w:sz w:val="28"/>
              </w:rPr>
            </w:pPr>
            <w:r>
              <w:rPr>
                <w:rFonts w:ascii="Times New Roman" w:hAnsi="Times New Roman" w:cs="Times New Roman"/>
                <w:sz w:val="28"/>
              </w:rPr>
              <w:t>10</w:t>
            </w:r>
          </w:p>
        </w:tc>
      </w:tr>
      <w:tr w:rsidR="00541CF7" w:rsidTr="00FA6A09">
        <w:tc>
          <w:tcPr>
            <w:tcW w:w="4503" w:type="dxa"/>
          </w:tcPr>
          <w:p w:rsidR="00541CF7" w:rsidRDefault="00541CF7" w:rsidP="00FA6A09">
            <w:pPr>
              <w:jc w:val="both"/>
              <w:rPr>
                <w:rFonts w:ascii="Times New Roman" w:hAnsi="Times New Roman" w:cs="Times New Roman"/>
                <w:sz w:val="28"/>
              </w:rPr>
            </w:pPr>
            <w:r>
              <w:rPr>
                <w:rFonts w:ascii="Times New Roman" w:hAnsi="Times New Roman" w:cs="Times New Roman"/>
                <w:sz w:val="28"/>
              </w:rPr>
              <w:lastRenderedPageBreak/>
              <w:t>Транспортные средства</w:t>
            </w:r>
          </w:p>
        </w:tc>
        <w:tc>
          <w:tcPr>
            <w:tcW w:w="1984" w:type="dxa"/>
          </w:tcPr>
          <w:p w:rsidR="00541CF7" w:rsidRDefault="00541CF7" w:rsidP="00FA6A09">
            <w:pPr>
              <w:jc w:val="center"/>
              <w:rPr>
                <w:rFonts w:ascii="Times New Roman" w:hAnsi="Times New Roman" w:cs="Times New Roman"/>
                <w:sz w:val="28"/>
              </w:rPr>
            </w:pPr>
            <w:r>
              <w:rPr>
                <w:rFonts w:ascii="Times New Roman" w:hAnsi="Times New Roman" w:cs="Times New Roman"/>
                <w:sz w:val="28"/>
              </w:rPr>
              <w:t>7</w:t>
            </w:r>
          </w:p>
        </w:tc>
        <w:tc>
          <w:tcPr>
            <w:tcW w:w="2019" w:type="dxa"/>
          </w:tcPr>
          <w:p w:rsidR="00541CF7" w:rsidRDefault="00541CF7" w:rsidP="00FA6A09">
            <w:pPr>
              <w:jc w:val="center"/>
              <w:rPr>
                <w:rFonts w:ascii="Times New Roman" w:hAnsi="Times New Roman" w:cs="Times New Roman"/>
                <w:sz w:val="28"/>
              </w:rPr>
            </w:pPr>
            <w:r>
              <w:rPr>
                <w:rFonts w:ascii="Times New Roman" w:hAnsi="Times New Roman" w:cs="Times New Roman"/>
                <w:sz w:val="28"/>
              </w:rPr>
              <w:t>14,3</w:t>
            </w:r>
          </w:p>
        </w:tc>
      </w:tr>
      <w:tr w:rsidR="00541CF7" w:rsidTr="00FA6A09">
        <w:tc>
          <w:tcPr>
            <w:tcW w:w="4503" w:type="dxa"/>
          </w:tcPr>
          <w:p w:rsidR="00541CF7" w:rsidRDefault="00541CF7" w:rsidP="00FA6A09">
            <w:pPr>
              <w:jc w:val="both"/>
              <w:rPr>
                <w:rFonts w:ascii="Times New Roman" w:hAnsi="Times New Roman" w:cs="Times New Roman"/>
                <w:sz w:val="28"/>
              </w:rPr>
            </w:pPr>
            <w:r>
              <w:rPr>
                <w:rFonts w:ascii="Times New Roman" w:hAnsi="Times New Roman" w:cs="Times New Roman"/>
                <w:sz w:val="28"/>
              </w:rPr>
              <w:t xml:space="preserve">Компьютеры </w:t>
            </w:r>
          </w:p>
        </w:tc>
        <w:tc>
          <w:tcPr>
            <w:tcW w:w="1984" w:type="dxa"/>
          </w:tcPr>
          <w:p w:rsidR="00541CF7" w:rsidRDefault="00541CF7" w:rsidP="00FA6A09">
            <w:pPr>
              <w:jc w:val="center"/>
              <w:rPr>
                <w:rFonts w:ascii="Times New Roman" w:hAnsi="Times New Roman" w:cs="Times New Roman"/>
                <w:sz w:val="28"/>
              </w:rPr>
            </w:pPr>
            <w:r>
              <w:rPr>
                <w:rFonts w:ascii="Times New Roman" w:hAnsi="Times New Roman" w:cs="Times New Roman"/>
                <w:sz w:val="28"/>
              </w:rPr>
              <w:t>4</w:t>
            </w:r>
          </w:p>
        </w:tc>
        <w:tc>
          <w:tcPr>
            <w:tcW w:w="2019" w:type="dxa"/>
          </w:tcPr>
          <w:p w:rsidR="00541CF7" w:rsidRDefault="00541CF7" w:rsidP="00FA6A09">
            <w:pPr>
              <w:jc w:val="center"/>
              <w:rPr>
                <w:rFonts w:ascii="Times New Roman" w:hAnsi="Times New Roman" w:cs="Times New Roman"/>
                <w:sz w:val="28"/>
              </w:rPr>
            </w:pPr>
            <w:r>
              <w:rPr>
                <w:rFonts w:ascii="Times New Roman" w:hAnsi="Times New Roman" w:cs="Times New Roman"/>
                <w:sz w:val="28"/>
              </w:rPr>
              <w:t>25</w:t>
            </w:r>
          </w:p>
        </w:tc>
      </w:tr>
      <w:tr w:rsidR="00541CF7" w:rsidTr="00FA6A09">
        <w:tc>
          <w:tcPr>
            <w:tcW w:w="4503" w:type="dxa"/>
          </w:tcPr>
          <w:p w:rsidR="00541CF7" w:rsidRDefault="00541CF7" w:rsidP="00FA6A09">
            <w:pPr>
              <w:jc w:val="both"/>
              <w:rPr>
                <w:rFonts w:ascii="Times New Roman" w:hAnsi="Times New Roman" w:cs="Times New Roman"/>
                <w:sz w:val="28"/>
              </w:rPr>
            </w:pPr>
            <w:r>
              <w:rPr>
                <w:rFonts w:ascii="Times New Roman" w:hAnsi="Times New Roman" w:cs="Times New Roman"/>
                <w:sz w:val="28"/>
              </w:rPr>
              <w:t xml:space="preserve">Копировально-множительная техника </w:t>
            </w:r>
          </w:p>
        </w:tc>
        <w:tc>
          <w:tcPr>
            <w:tcW w:w="1984" w:type="dxa"/>
          </w:tcPr>
          <w:p w:rsidR="00541CF7" w:rsidRDefault="00541CF7" w:rsidP="00FA6A09">
            <w:pPr>
              <w:jc w:val="center"/>
              <w:rPr>
                <w:rFonts w:ascii="Times New Roman" w:hAnsi="Times New Roman" w:cs="Times New Roman"/>
                <w:sz w:val="28"/>
              </w:rPr>
            </w:pPr>
            <w:r>
              <w:rPr>
                <w:rFonts w:ascii="Times New Roman" w:hAnsi="Times New Roman" w:cs="Times New Roman"/>
                <w:sz w:val="28"/>
              </w:rPr>
              <w:t>5</w:t>
            </w:r>
          </w:p>
        </w:tc>
        <w:tc>
          <w:tcPr>
            <w:tcW w:w="2019" w:type="dxa"/>
          </w:tcPr>
          <w:p w:rsidR="00541CF7" w:rsidRDefault="00541CF7" w:rsidP="00FA6A09">
            <w:pPr>
              <w:jc w:val="center"/>
              <w:rPr>
                <w:rFonts w:ascii="Times New Roman" w:hAnsi="Times New Roman" w:cs="Times New Roman"/>
                <w:sz w:val="28"/>
              </w:rPr>
            </w:pPr>
            <w:r>
              <w:rPr>
                <w:rFonts w:ascii="Times New Roman" w:hAnsi="Times New Roman" w:cs="Times New Roman"/>
                <w:sz w:val="28"/>
              </w:rPr>
              <w:t>20</w:t>
            </w:r>
          </w:p>
        </w:tc>
      </w:tr>
      <w:tr w:rsidR="00541CF7" w:rsidTr="00FA6A09">
        <w:tc>
          <w:tcPr>
            <w:tcW w:w="4503" w:type="dxa"/>
          </w:tcPr>
          <w:p w:rsidR="00541CF7" w:rsidRDefault="00541CF7" w:rsidP="00FA6A09">
            <w:pPr>
              <w:jc w:val="both"/>
              <w:rPr>
                <w:rFonts w:ascii="Times New Roman" w:hAnsi="Times New Roman" w:cs="Times New Roman"/>
                <w:sz w:val="28"/>
              </w:rPr>
            </w:pPr>
            <w:r>
              <w:rPr>
                <w:rFonts w:ascii="Times New Roman" w:hAnsi="Times New Roman" w:cs="Times New Roman"/>
                <w:sz w:val="28"/>
              </w:rPr>
              <w:t>Офисная мебель</w:t>
            </w:r>
          </w:p>
        </w:tc>
        <w:tc>
          <w:tcPr>
            <w:tcW w:w="1984" w:type="dxa"/>
          </w:tcPr>
          <w:p w:rsidR="00541CF7" w:rsidRDefault="00541CF7" w:rsidP="00FA6A09">
            <w:pPr>
              <w:jc w:val="center"/>
              <w:rPr>
                <w:rFonts w:ascii="Times New Roman" w:hAnsi="Times New Roman" w:cs="Times New Roman"/>
                <w:sz w:val="28"/>
              </w:rPr>
            </w:pPr>
            <w:r>
              <w:rPr>
                <w:rFonts w:ascii="Times New Roman" w:hAnsi="Times New Roman" w:cs="Times New Roman"/>
                <w:sz w:val="28"/>
              </w:rPr>
              <w:t>10</w:t>
            </w:r>
          </w:p>
        </w:tc>
        <w:tc>
          <w:tcPr>
            <w:tcW w:w="2019" w:type="dxa"/>
          </w:tcPr>
          <w:p w:rsidR="00541CF7" w:rsidRDefault="00541CF7" w:rsidP="00FA6A09">
            <w:pPr>
              <w:jc w:val="center"/>
              <w:rPr>
                <w:rFonts w:ascii="Times New Roman" w:hAnsi="Times New Roman" w:cs="Times New Roman"/>
                <w:sz w:val="28"/>
              </w:rPr>
            </w:pPr>
            <w:r>
              <w:rPr>
                <w:rFonts w:ascii="Times New Roman" w:hAnsi="Times New Roman" w:cs="Times New Roman"/>
                <w:sz w:val="28"/>
              </w:rPr>
              <w:t>10</w:t>
            </w:r>
          </w:p>
        </w:tc>
      </w:tr>
      <w:tr w:rsidR="00541CF7" w:rsidTr="00FA6A09">
        <w:tc>
          <w:tcPr>
            <w:tcW w:w="4503" w:type="dxa"/>
          </w:tcPr>
          <w:p w:rsidR="00541CF7" w:rsidRDefault="00541CF7" w:rsidP="00FA6A09">
            <w:pPr>
              <w:jc w:val="both"/>
              <w:rPr>
                <w:rFonts w:ascii="Times New Roman" w:hAnsi="Times New Roman" w:cs="Times New Roman"/>
                <w:sz w:val="28"/>
              </w:rPr>
            </w:pPr>
            <w:r>
              <w:rPr>
                <w:rFonts w:ascii="Times New Roman" w:hAnsi="Times New Roman" w:cs="Times New Roman"/>
                <w:sz w:val="28"/>
              </w:rPr>
              <w:t>Прочие основные средства</w:t>
            </w:r>
          </w:p>
        </w:tc>
        <w:tc>
          <w:tcPr>
            <w:tcW w:w="1984" w:type="dxa"/>
          </w:tcPr>
          <w:p w:rsidR="00541CF7" w:rsidRDefault="00541CF7" w:rsidP="00FA6A09">
            <w:pPr>
              <w:jc w:val="center"/>
              <w:rPr>
                <w:rFonts w:ascii="Times New Roman" w:hAnsi="Times New Roman" w:cs="Times New Roman"/>
                <w:sz w:val="28"/>
              </w:rPr>
            </w:pPr>
            <w:r>
              <w:rPr>
                <w:rFonts w:ascii="Times New Roman" w:hAnsi="Times New Roman" w:cs="Times New Roman"/>
                <w:sz w:val="28"/>
              </w:rPr>
              <w:t>10</w:t>
            </w:r>
          </w:p>
        </w:tc>
        <w:tc>
          <w:tcPr>
            <w:tcW w:w="2019" w:type="dxa"/>
          </w:tcPr>
          <w:p w:rsidR="00541CF7" w:rsidRDefault="00541CF7" w:rsidP="00FA6A09">
            <w:pPr>
              <w:jc w:val="center"/>
              <w:rPr>
                <w:rFonts w:ascii="Times New Roman" w:hAnsi="Times New Roman" w:cs="Times New Roman"/>
                <w:sz w:val="28"/>
              </w:rPr>
            </w:pPr>
            <w:r>
              <w:rPr>
                <w:rFonts w:ascii="Times New Roman" w:hAnsi="Times New Roman" w:cs="Times New Roman"/>
                <w:sz w:val="28"/>
              </w:rPr>
              <w:t>10</w:t>
            </w:r>
          </w:p>
        </w:tc>
      </w:tr>
    </w:tbl>
    <w:p w:rsidR="00541CF7" w:rsidRDefault="00541CF7" w:rsidP="00541CF7">
      <w:pPr>
        <w:spacing w:after="0"/>
        <w:ind w:firstLine="708"/>
        <w:jc w:val="both"/>
        <w:rPr>
          <w:rFonts w:ascii="Times New Roman" w:hAnsi="Times New Roman" w:cs="Times New Roman"/>
          <w:sz w:val="28"/>
        </w:rPr>
      </w:pPr>
    </w:p>
    <w:p w:rsidR="00541CF7" w:rsidRDefault="00541CF7" w:rsidP="00541CF7">
      <w:pPr>
        <w:spacing w:after="0"/>
        <w:ind w:firstLine="708"/>
        <w:jc w:val="both"/>
        <w:rPr>
          <w:rFonts w:ascii="Times New Roman" w:hAnsi="Times New Roman" w:cs="Times New Roman"/>
          <w:sz w:val="28"/>
        </w:rPr>
      </w:pPr>
    </w:p>
    <w:p w:rsidR="00541CF7" w:rsidRDefault="00541CF7" w:rsidP="00541CF7">
      <w:pPr>
        <w:spacing w:after="0"/>
        <w:ind w:firstLine="708"/>
        <w:jc w:val="both"/>
        <w:rPr>
          <w:rFonts w:ascii="Times New Roman" w:hAnsi="Times New Roman" w:cs="Times New Roman"/>
          <w:sz w:val="28"/>
        </w:rPr>
      </w:pPr>
    </w:p>
    <w:p w:rsidR="00541CF7" w:rsidRDefault="00541CF7" w:rsidP="00541CF7">
      <w:pPr>
        <w:spacing w:after="0"/>
        <w:ind w:firstLine="708"/>
        <w:jc w:val="both"/>
        <w:rPr>
          <w:rFonts w:ascii="Times New Roman" w:hAnsi="Times New Roman" w:cs="Times New Roman"/>
          <w:sz w:val="28"/>
        </w:rPr>
      </w:pPr>
    </w:p>
    <w:p w:rsidR="00541CF7" w:rsidRDefault="00541CF7" w:rsidP="00541CF7">
      <w:pPr>
        <w:spacing w:after="0"/>
        <w:ind w:firstLine="708"/>
        <w:jc w:val="both"/>
        <w:rPr>
          <w:rFonts w:ascii="Times New Roman" w:hAnsi="Times New Roman" w:cs="Times New Roman"/>
          <w:sz w:val="28"/>
        </w:rPr>
      </w:pPr>
    </w:p>
    <w:p w:rsidR="00541CF7" w:rsidRDefault="00541CF7" w:rsidP="00541CF7">
      <w:pPr>
        <w:spacing w:after="0"/>
        <w:ind w:firstLine="708"/>
        <w:jc w:val="both"/>
        <w:rPr>
          <w:rFonts w:ascii="Times New Roman" w:hAnsi="Times New Roman" w:cs="Times New Roman"/>
          <w:sz w:val="28"/>
        </w:rPr>
      </w:pPr>
    </w:p>
    <w:p w:rsidR="00541CF7" w:rsidRDefault="00541CF7" w:rsidP="00541CF7">
      <w:pPr>
        <w:spacing w:after="0"/>
        <w:ind w:firstLine="708"/>
        <w:jc w:val="both"/>
        <w:rPr>
          <w:rFonts w:ascii="Times New Roman" w:hAnsi="Times New Roman" w:cs="Times New Roman"/>
          <w:sz w:val="28"/>
        </w:rPr>
      </w:pPr>
      <w:r>
        <w:rPr>
          <w:rFonts w:ascii="Times New Roman" w:hAnsi="Times New Roman" w:cs="Times New Roman"/>
          <w:sz w:val="28"/>
        </w:rPr>
        <w:t>Начисление амортизации по основным средствам, вновь введенным в эксплуатацию, начинается с 1-го числа месяца, следующего за месяцем ввода; а по выбывшим-прекращается с 1-го числа месяца, следующего за месяцем выбытия.</w:t>
      </w:r>
    </w:p>
    <w:p w:rsidR="00541CF7" w:rsidRDefault="00541CF7" w:rsidP="00541CF7">
      <w:pPr>
        <w:spacing w:after="0"/>
        <w:ind w:firstLine="708"/>
        <w:jc w:val="both"/>
        <w:rPr>
          <w:rFonts w:ascii="Times New Roman" w:hAnsi="Times New Roman" w:cs="Times New Roman"/>
          <w:sz w:val="28"/>
        </w:rPr>
      </w:pPr>
      <w:r>
        <w:rPr>
          <w:rFonts w:ascii="Times New Roman" w:hAnsi="Times New Roman" w:cs="Times New Roman"/>
          <w:sz w:val="28"/>
        </w:rPr>
        <w:t>Амортизируемая стоимость основного средства должна анализироваться  на каждую годовую отчетную дату.</w:t>
      </w:r>
    </w:p>
    <w:p w:rsidR="00541CF7" w:rsidRDefault="00541CF7" w:rsidP="00541CF7">
      <w:pPr>
        <w:spacing w:after="0"/>
        <w:ind w:firstLine="708"/>
        <w:jc w:val="both"/>
        <w:rPr>
          <w:rFonts w:ascii="Times New Roman" w:hAnsi="Times New Roman" w:cs="Times New Roman"/>
          <w:sz w:val="28"/>
        </w:rPr>
      </w:pPr>
      <w:r>
        <w:rPr>
          <w:rFonts w:ascii="Times New Roman" w:hAnsi="Times New Roman" w:cs="Times New Roman"/>
          <w:sz w:val="28"/>
        </w:rPr>
        <w:t xml:space="preserve">В соответствии с приложениями МСФО </w:t>
      </w:r>
      <w:r>
        <w:rPr>
          <w:rFonts w:ascii="Times New Roman" w:hAnsi="Times New Roman" w:cs="Times New Roman"/>
          <w:sz w:val="28"/>
          <w:lang w:val="en-US"/>
        </w:rPr>
        <w:t>IAS</w:t>
      </w:r>
      <w:r>
        <w:rPr>
          <w:rFonts w:ascii="Times New Roman" w:hAnsi="Times New Roman" w:cs="Times New Roman"/>
          <w:sz w:val="28"/>
        </w:rPr>
        <w:t xml:space="preserve"> 16 «Основные средства» в Предприятии  в конце каждого финансового года производится анализ экономической целесообразности применяемого метода амортизации для каждой группы основных средств. Если обнаруживается значительное изменение в ожидаемой схеме потребления будущих экономических выгод, заключенных в активе, применяемый  ранее метод должен быть скорректирован для отражения этого изменения. Изменения начинают действовать на основании решения об изменении метода начисления амортизации после ремонта оформления соответствующих  распоряжений директора Предприятия.</w:t>
      </w:r>
    </w:p>
    <w:p w:rsidR="00541CF7" w:rsidRDefault="00541CF7" w:rsidP="00541CF7">
      <w:pPr>
        <w:spacing w:after="0"/>
        <w:ind w:firstLine="708"/>
        <w:jc w:val="both"/>
        <w:rPr>
          <w:rFonts w:ascii="Times New Roman" w:hAnsi="Times New Roman" w:cs="Times New Roman"/>
          <w:sz w:val="28"/>
        </w:rPr>
      </w:pPr>
      <w:r>
        <w:rPr>
          <w:rFonts w:ascii="Times New Roman" w:hAnsi="Times New Roman" w:cs="Times New Roman"/>
          <w:sz w:val="28"/>
        </w:rPr>
        <w:t>При покомпонентном учете основных средств амортизация начисляется  по каждому компоненту отдельно.</w:t>
      </w:r>
    </w:p>
    <w:p w:rsidR="00541CF7" w:rsidRDefault="00541CF7" w:rsidP="00541CF7">
      <w:pPr>
        <w:spacing w:after="0"/>
        <w:ind w:firstLine="708"/>
        <w:jc w:val="both"/>
        <w:rPr>
          <w:rFonts w:ascii="Times New Roman" w:hAnsi="Times New Roman" w:cs="Times New Roman"/>
          <w:sz w:val="28"/>
        </w:rPr>
      </w:pPr>
      <w:r>
        <w:rPr>
          <w:rFonts w:ascii="Times New Roman" w:hAnsi="Times New Roman" w:cs="Times New Roman"/>
          <w:sz w:val="28"/>
        </w:rPr>
        <w:t>Начисление амортизации не прекращается, если объект основных сре</w:t>
      </w:r>
      <w:proofErr w:type="gramStart"/>
      <w:r>
        <w:rPr>
          <w:rFonts w:ascii="Times New Roman" w:hAnsi="Times New Roman" w:cs="Times New Roman"/>
          <w:sz w:val="28"/>
        </w:rPr>
        <w:t>дств вр</w:t>
      </w:r>
      <w:proofErr w:type="gramEnd"/>
      <w:r>
        <w:rPr>
          <w:rFonts w:ascii="Times New Roman" w:hAnsi="Times New Roman" w:cs="Times New Roman"/>
          <w:sz w:val="28"/>
        </w:rPr>
        <w:t>еменно не используется. Амортизационные отчисления в случае, если в результате простоя оборудования не был получен доход, относятся на расходы, не идущие на вычеты при определении налогооблагаемого дохода.</w:t>
      </w:r>
    </w:p>
    <w:p w:rsidR="00541CF7" w:rsidRDefault="00541CF7" w:rsidP="00541CF7">
      <w:pPr>
        <w:spacing w:after="0"/>
        <w:ind w:firstLine="708"/>
        <w:jc w:val="both"/>
        <w:rPr>
          <w:rFonts w:ascii="Times New Roman" w:hAnsi="Times New Roman" w:cs="Times New Roman"/>
          <w:sz w:val="28"/>
        </w:rPr>
      </w:pPr>
    </w:p>
    <w:p w:rsidR="00541CF7" w:rsidRDefault="00541CF7" w:rsidP="00541CF7">
      <w:pPr>
        <w:spacing w:after="0"/>
        <w:ind w:firstLine="708"/>
        <w:jc w:val="center"/>
        <w:rPr>
          <w:rFonts w:ascii="Times New Roman" w:hAnsi="Times New Roman" w:cs="Times New Roman"/>
          <w:b/>
          <w:sz w:val="28"/>
        </w:rPr>
      </w:pPr>
      <w:r w:rsidRPr="00C17948">
        <w:rPr>
          <w:rFonts w:ascii="Times New Roman" w:hAnsi="Times New Roman" w:cs="Times New Roman"/>
          <w:b/>
          <w:sz w:val="28"/>
        </w:rPr>
        <w:t>Прекращение признания основных средств</w:t>
      </w:r>
    </w:p>
    <w:p w:rsidR="00541CF7" w:rsidRDefault="00541CF7" w:rsidP="00541CF7">
      <w:pPr>
        <w:spacing w:after="0"/>
        <w:ind w:firstLine="708"/>
        <w:rPr>
          <w:rFonts w:ascii="Times New Roman" w:hAnsi="Times New Roman" w:cs="Times New Roman"/>
          <w:b/>
          <w:sz w:val="28"/>
        </w:rPr>
      </w:pPr>
    </w:p>
    <w:p w:rsidR="00541CF7" w:rsidRDefault="00541CF7" w:rsidP="00541CF7">
      <w:pPr>
        <w:spacing w:after="0"/>
        <w:ind w:firstLine="708"/>
        <w:jc w:val="both"/>
        <w:rPr>
          <w:rFonts w:ascii="Times New Roman" w:hAnsi="Times New Roman" w:cs="Times New Roman"/>
          <w:sz w:val="28"/>
        </w:rPr>
      </w:pPr>
      <w:r>
        <w:rPr>
          <w:rFonts w:ascii="Times New Roman" w:hAnsi="Times New Roman" w:cs="Times New Roman"/>
          <w:sz w:val="28"/>
        </w:rPr>
        <w:t>Предприятие прекращает признание объекта  основных сре</w:t>
      </w:r>
      <w:proofErr w:type="gramStart"/>
      <w:r>
        <w:rPr>
          <w:rFonts w:ascii="Times New Roman" w:hAnsi="Times New Roman" w:cs="Times New Roman"/>
          <w:sz w:val="28"/>
        </w:rPr>
        <w:t>дств пр</w:t>
      </w:r>
      <w:proofErr w:type="gramEnd"/>
      <w:r>
        <w:rPr>
          <w:rFonts w:ascii="Times New Roman" w:hAnsi="Times New Roman" w:cs="Times New Roman"/>
          <w:sz w:val="28"/>
        </w:rPr>
        <w:t>и его выбытии или когда не ожидается никаких будущих экономических выгод от его использования или выбытия. Выбытие основных средств из эксплуатации  может быть вызвано безвозмездной передачей другим юридическим и физическим лицам, продажей, ликвидацией вследствие аварии, по физическому и моральному износу.</w:t>
      </w:r>
    </w:p>
    <w:p w:rsidR="00541CF7" w:rsidRDefault="00541CF7" w:rsidP="00541CF7">
      <w:pPr>
        <w:spacing w:after="0"/>
        <w:ind w:firstLine="708"/>
        <w:jc w:val="both"/>
        <w:rPr>
          <w:rFonts w:ascii="Times New Roman" w:hAnsi="Times New Roman" w:cs="Times New Roman"/>
          <w:sz w:val="28"/>
        </w:rPr>
      </w:pPr>
      <w:r>
        <w:rPr>
          <w:rFonts w:ascii="Times New Roman" w:hAnsi="Times New Roman" w:cs="Times New Roman"/>
          <w:sz w:val="28"/>
        </w:rPr>
        <w:t>Прибыли или убытки, возникающие при прекращении признания объекта основных средств, должны включаться в прибыль или убыток, когда прекращается  признание объекта.</w:t>
      </w:r>
    </w:p>
    <w:p w:rsidR="00541CF7" w:rsidRDefault="00541CF7" w:rsidP="00541CF7">
      <w:pPr>
        <w:spacing w:after="0"/>
        <w:ind w:firstLine="708"/>
        <w:jc w:val="both"/>
        <w:rPr>
          <w:rFonts w:ascii="Times New Roman" w:hAnsi="Times New Roman" w:cs="Times New Roman"/>
          <w:sz w:val="28"/>
        </w:rPr>
      </w:pPr>
      <w:r>
        <w:rPr>
          <w:rFonts w:ascii="Times New Roman" w:hAnsi="Times New Roman" w:cs="Times New Roman"/>
          <w:sz w:val="28"/>
        </w:rPr>
        <w:t>При выбытии отдельного компонента  учета основного средства, его балансовая стоимость увеличивается на себестоимость нового компонента</w:t>
      </w:r>
      <w:proofErr w:type="gramStart"/>
      <w:r>
        <w:rPr>
          <w:rFonts w:ascii="Times New Roman" w:hAnsi="Times New Roman" w:cs="Times New Roman"/>
          <w:sz w:val="28"/>
        </w:rPr>
        <w:t xml:space="preserve"> ,</w:t>
      </w:r>
      <w:proofErr w:type="gramEnd"/>
      <w:r>
        <w:rPr>
          <w:rFonts w:ascii="Times New Roman" w:hAnsi="Times New Roman" w:cs="Times New Roman"/>
          <w:sz w:val="28"/>
        </w:rPr>
        <w:t xml:space="preserve"> а  </w:t>
      </w:r>
      <w:r>
        <w:rPr>
          <w:rFonts w:ascii="Times New Roman" w:hAnsi="Times New Roman" w:cs="Times New Roman"/>
          <w:sz w:val="28"/>
        </w:rPr>
        <w:lastRenderedPageBreak/>
        <w:t>неизношенная часть старого компонента списывается аналогично  списанию выбывшего основного средства.</w:t>
      </w:r>
    </w:p>
    <w:p w:rsidR="00541CF7" w:rsidRDefault="00541CF7" w:rsidP="00541CF7">
      <w:pPr>
        <w:spacing w:after="0"/>
        <w:ind w:firstLine="708"/>
        <w:jc w:val="both"/>
        <w:rPr>
          <w:rFonts w:ascii="Times New Roman" w:hAnsi="Times New Roman" w:cs="Times New Roman"/>
          <w:sz w:val="28"/>
        </w:rPr>
      </w:pPr>
      <w:r>
        <w:rPr>
          <w:rFonts w:ascii="Times New Roman" w:hAnsi="Times New Roman" w:cs="Times New Roman"/>
          <w:sz w:val="28"/>
        </w:rPr>
        <w:t>Прибыль и убыток, возникающие при прекращении признания объекта основных средств, должны определяется как разница между чистыми поступлениями от выбытия  (цена реализации при продаже, стоимость сданного лома при списании оборудования, стоимость оприходованных материалов, полученных при демонтаже основного средств  и т.п.), если таковые имеются  и балансовой стоимостью указанного объекта.</w:t>
      </w:r>
    </w:p>
    <w:p w:rsidR="00541CF7" w:rsidRDefault="00541CF7" w:rsidP="00541CF7">
      <w:pPr>
        <w:spacing w:after="0"/>
        <w:ind w:firstLine="708"/>
        <w:jc w:val="both"/>
        <w:rPr>
          <w:rFonts w:ascii="Times New Roman" w:hAnsi="Times New Roman" w:cs="Times New Roman"/>
          <w:sz w:val="28"/>
        </w:rPr>
      </w:pPr>
      <w:r>
        <w:rPr>
          <w:rFonts w:ascii="Times New Roman" w:hAnsi="Times New Roman" w:cs="Times New Roman"/>
          <w:sz w:val="28"/>
        </w:rPr>
        <w:t>Для определения  непригодности основных средств, невозможности или экономической нецелесообразности их восстановительного ремонта  в Предприятия создана постоянно действующая комиссия. Комиссия  производит непосредственный осмотр ликвидируемых  объектов, устанавливает причины их списания и лиц, виновных в этом и подлежащих привлечению к ответственности, определяет возможность использования отдельных узлов, деталей, материалов и производит их оценку. Результатом работы является составление Акта на списание основных средств (ф.№ОС-3) или акта на списание автотранспортных средств (ф.№ОС-4), на основе которого в бухгалтерии делаются соответствующие бухгалтерские записи. В акте отражают первоначальную стоимость объекта, сумму начисленного износа по данным бухгалтерского учета, стоимость материальных ценностей, полученных при разборке (демонтаже) объекта, величину расходов по ликвидации (разборка, демонтаж и пр.) цену возможной реализации и общий результат ликвидации.</w:t>
      </w:r>
    </w:p>
    <w:p w:rsidR="00541CF7" w:rsidRDefault="00541CF7" w:rsidP="00541CF7">
      <w:pPr>
        <w:spacing w:after="0"/>
        <w:ind w:firstLine="708"/>
        <w:jc w:val="both"/>
        <w:rPr>
          <w:rFonts w:ascii="Times New Roman" w:hAnsi="Times New Roman" w:cs="Times New Roman"/>
          <w:sz w:val="28"/>
        </w:rPr>
      </w:pPr>
      <w:r>
        <w:rPr>
          <w:rFonts w:ascii="Times New Roman" w:hAnsi="Times New Roman" w:cs="Times New Roman"/>
          <w:sz w:val="28"/>
        </w:rPr>
        <w:t>В финансовой отчетности Предприятия раскрывает для каждого класса основных средств:</w:t>
      </w:r>
    </w:p>
    <w:p w:rsidR="00541CF7" w:rsidRDefault="00541CF7" w:rsidP="00541CF7">
      <w:pPr>
        <w:spacing w:after="0"/>
        <w:ind w:firstLine="708"/>
        <w:jc w:val="both"/>
        <w:rPr>
          <w:rFonts w:ascii="Times New Roman" w:hAnsi="Times New Roman" w:cs="Times New Roman"/>
          <w:sz w:val="28"/>
        </w:rPr>
      </w:pPr>
      <w:r>
        <w:rPr>
          <w:rFonts w:ascii="Times New Roman" w:hAnsi="Times New Roman" w:cs="Times New Roman"/>
          <w:sz w:val="28"/>
        </w:rPr>
        <w:t>- базы измерений, используемые  для определения валовой балансовой стоимости;</w:t>
      </w:r>
    </w:p>
    <w:p w:rsidR="00541CF7" w:rsidRDefault="00541CF7" w:rsidP="00541CF7">
      <w:pPr>
        <w:spacing w:after="0"/>
        <w:ind w:firstLine="708"/>
        <w:jc w:val="both"/>
        <w:rPr>
          <w:rFonts w:ascii="Times New Roman" w:hAnsi="Times New Roman" w:cs="Times New Roman"/>
          <w:sz w:val="28"/>
        </w:rPr>
      </w:pPr>
      <w:r>
        <w:rPr>
          <w:rFonts w:ascii="Times New Roman" w:hAnsi="Times New Roman" w:cs="Times New Roman"/>
          <w:sz w:val="28"/>
        </w:rPr>
        <w:t>-используемые методы начисления амортизации;</w:t>
      </w:r>
    </w:p>
    <w:p w:rsidR="00541CF7" w:rsidRDefault="00541CF7" w:rsidP="00541CF7">
      <w:pPr>
        <w:spacing w:after="0"/>
        <w:ind w:firstLine="708"/>
        <w:jc w:val="both"/>
        <w:rPr>
          <w:rFonts w:ascii="Times New Roman" w:hAnsi="Times New Roman" w:cs="Times New Roman"/>
          <w:sz w:val="28"/>
        </w:rPr>
      </w:pPr>
      <w:r>
        <w:rPr>
          <w:rFonts w:ascii="Times New Roman" w:hAnsi="Times New Roman" w:cs="Times New Roman"/>
          <w:sz w:val="28"/>
        </w:rPr>
        <w:t>-применяемые сроки полезного использования или нормы амортизации;</w:t>
      </w:r>
    </w:p>
    <w:p w:rsidR="00541CF7" w:rsidRDefault="00541CF7" w:rsidP="00541CF7">
      <w:pPr>
        <w:spacing w:after="0"/>
        <w:ind w:firstLine="708"/>
        <w:jc w:val="both"/>
        <w:rPr>
          <w:rFonts w:ascii="Times New Roman" w:hAnsi="Times New Roman" w:cs="Times New Roman"/>
          <w:sz w:val="28"/>
        </w:rPr>
      </w:pPr>
      <w:r>
        <w:rPr>
          <w:rFonts w:ascii="Times New Roman" w:hAnsi="Times New Roman" w:cs="Times New Roman"/>
          <w:sz w:val="28"/>
        </w:rPr>
        <w:t>-валовую балансовую стоимость и накопленную амортизацию (в совокупности с накопленными убытками от обесценения) на начало и конец периода;</w:t>
      </w:r>
    </w:p>
    <w:p w:rsidR="00541CF7" w:rsidRDefault="00541CF7" w:rsidP="00541CF7">
      <w:pPr>
        <w:spacing w:after="0"/>
        <w:ind w:firstLine="708"/>
        <w:jc w:val="both"/>
        <w:rPr>
          <w:rFonts w:ascii="Times New Roman" w:hAnsi="Times New Roman" w:cs="Times New Roman"/>
          <w:sz w:val="28"/>
        </w:rPr>
      </w:pPr>
      <w:r>
        <w:rPr>
          <w:rFonts w:ascii="Times New Roman" w:hAnsi="Times New Roman" w:cs="Times New Roman"/>
          <w:sz w:val="28"/>
        </w:rPr>
        <w:t>- выверку балансовой стоимости на начало и конец периода, показывающую:</w:t>
      </w:r>
    </w:p>
    <w:p w:rsidR="00541CF7" w:rsidRDefault="00541CF7" w:rsidP="00541CF7">
      <w:pPr>
        <w:spacing w:after="0"/>
        <w:ind w:firstLine="708"/>
        <w:jc w:val="both"/>
        <w:rPr>
          <w:rFonts w:ascii="Times New Roman" w:hAnsi="Times New Roman" w:cs="Times New Roman"/>
          <w:sz w:val="28"/>
        </w:rPr>
      </w:pPr>
      <w:r>
        <w:rPr>
          <w:rFonts w:ascii="Times New Roman" w:hAnsi="Times New Roman" w:cs="Times New Roman"/>
          <w:sz w:val="28"/>
        </w:rPr>
        <w:t>а) поступления;</w:t>
      </w:r>
    </w:p>
    <w:p w:rsidR="00541CF7" w:rsidRDefault="00541CF7" w:rsidP="00541CF7">
      <w:pPr>
        <w:spacing w:after="0"/>
        <w:ind w:firstLine="708"/>
        <w:jc w:val="both"/>
        <w:rPr>
          <w:rFonts w:ascii="Times New Roman" w:hAnsi="Times New Roman" w:cs="Times New Roman"/>
          <w:sz w:val="28"/>
        </w:rPr>
      </w:pPr>
      <w:r>
        <w:rPr>
          <w:rFonts w:ascii="Times New Roman" w:hAnsi="Times New Roman" w:cs="Times New Roman"/>
          <w:sz w:val="28"/>
        </w:rPr>
        <w:t xml:space="preserve">б) выбытия активов, включая выбытия  активов, классифицированных, как активы, удерживаемые для продажи или включенных в группу на выбытие, классифицированную как удерживаемую </w:t>
      </w:r>
      <w:proofErr w:type="gramStart"/>
      <w:r>
        <w:rPr>
          <w:rFonts w:ascii="Times New Roman" w:hAnsi="Times New Roman" w:cs="Times New Roman"/>
          <w:sz w:val="28"/>
        </w:rPr>
        <w:t>для</w:t>
      </w:r>
      <w:proofErr w:type="gramEnd"/>
      <w:r>
        <w:rPr>
          <w:rFonts w:ascii="Times New Roman" w:hAnsi="Times New Roman" w:cs="Times New Roman"/>
          <w:sz w:val="28"/>
        </w:rPr>
        <w:t xml:space="preserve"> продаже;</w:t>
      </w:r>
    </w:p>
    <w:p w:rsidR="00541CF7" w:rsidRDefault="00541CF7" w:rsidP="00541CF7">
      <w:pPr>
        <w:spacing w:after="0"/>
        <w:ind w:firstLine="708"/>
        <w:jc w:val="both"/>
        <w:rPr>
          <w:rFonts w:ascii="Times New Roman" w:hAnsi="Times New Roman" w:cs="Times New Roman"/>
          <w:sz w:val="28"/>
        </w:rPr>
      </w:pPr>
      <w:r>
        <w:rPr>
          <w:rFonts w:ascii="Times New Roman" w:hAnsi="Times New Roman" w:cs="Times New Roman"/>
          <w:sz w:val="28"/>
        </w:rPr>
        <w:t>в) приобретения вследствие объединения бизнеса;</w:t>
      </w:r>
    </w:p>
    <w:p w:rsidR="00541CF7" w:rsidRDefault="00541CF7" w:rsidP="00541CF7">
      <w:pPr>
        <w:spacing w:after="0"/>
        <w:ind w:firstLine="708"/>
        <w:jc w:val="both"/>
        <w:rPr>
          <w:rFonts w:ascii="Times New Roman" w:hAnsi="Times New Roman" w:cs="Times New Roman"/>
          <w:sz w:val="28"/>
        </w:rPr>
      </w:pPr>
      <w:r>
        <w:rPr>
          <w:rFonts w:ascii="Times New Roman" w:hAnsi="Times New Roman" w:cs="Times New Roman"/>
          <w:sz w:val="28"/>
        </w:rPr>
        <w:t>г) убытки от обесценения;</w:t>
      </w:r>
    </w:p>
    <w:p w:rsidR="00541CF7" w:rsidRDefault="00541CF7" w:rsidP="00541CF7">
      <w:pPr>
        <w:spacing w:after="0"/>
        <w:ind w:firstLine="708"/>
        <w:jc w:val="both"/>
        <w:rPr>
          <w:rFonts w:ascii="Times New Roman" w:hAnsi="Times New Roman" w:cs="Times New Roman"/>
          <w:sz w:val="28"/>
        </w:rPr>
      </w:pPr>
      <w:r>
        <w:rPr>
          <w:rFonts w:ascii="Times New Roman" w:hAnsi="Times New Roman" w:cs="Times New Roman"/>
          <w:sz w:val="28"/>
        </w:rPr>
        <w:t>д) амортизация;</w:t>
      </w:r>
    </w:p>
    <w:p w:rsidR="00541CF7" w:rsidRDefault="00541CF7" w:rsidP="00541CF7">
      <w:pPr>
        <w:spacing w:after="0"/>
        <w:ind w:firstLine="708"/>
        <w:jc w:val="both"/>
        <w:rPr>
          <w:rFonts w:ascii="Times New Roman" w:hAnsi="Times New Roman" w:cs="Times New Roman"/>
          <w:sz w:val="28"/>
        </w:rPr>
      </w:pPr>
      <w:r>
        <w:rPr>
          <w:rFonts w:ascii="Times New Roman" w:hAnsi="Times New Roman" w:cs="Times New Roman"/>
          <w:sz w:val="28"/>
        </w:rPr>
        <w:lastRenderedPageBreak/>
        <w:t>е) чистые курсовые разницы, возникающие при переводе финансовой отчетности из функциональной валюты в валюту представления отчетности;</w:t>
      </w:r>
    </w:p>
    <w:p w:rsidR="00541CF7" w:rsidRDefault="00541CF7" w:rsidP="00541CF7">
      <w:pPr>
        <w:spacing w:after="0"/>
        <w:ind w:firstLine="708"/>
        <w:jc w:val="both"/>
        <w:rPr>
          <w:rFonts w:ascii="Times New Roman" w:hAnsi="Times New Roman" w:cs="Times New Roman"/>
          <w:sz w:val="28"/>
        </w:rPr>
      </w:pPr>
      <w:r>
        <w:rPr>
          <w:rFonts w:ascii="Times New Roman" w:hAnsi="Times New Roman" w:cs="Times New Roman"/>
          <w:sz w:val="28"/>
        </w:rPr>
        <w:t>ж) прочие изменения.</w:t>
      </w:r>
    </w:p>
    <w:p w:rsidR="00541CF7" w:rsidRDefault="00541CF7" w:rsidP="00541CF7">
      <w:pPr>
        <w:spacing w:after="0"/>
        <w:ind w:firstLine="708"/>
        <w:jc w:val="both"/>
        <w:rPr>
          <w:rFonts w:ascii="Times New Roman" w:hAnsi="Times New Roman" w:cs="Times New Roman"/>
          <w:sz w:val="28"/>
        </w:rPr>
      </w:pPr>
      <w:r>
        <w:rPr>
          <w:rFonts w:ascii="Times New Roman" w:hAnsi="Times New Roman" w:cs="Times New Roman"/>
          <w:sz w:val="28"/>
        </w:rPr>
        <w:t xml:space="preserve"> -наличие  и суммы ограничений на права собственности и на объекты основных средств, переданных в залог в качестве  обеспечения обязательств;</w:t>
      </w:r>
    </w:p>
    <w:p w:rsidR="00541CF7" w:rsidRDefault="00541CF7" w:rsidP="00541CF7">
      <w:pPr>
        <w:spacing w:after="0"/>
        <w:ind w:firstLine="708"/>
        <w:jc w:val="both"/>
        <w:rPr>
          <w:rFonts w:ascii="Times New Roman" w:hAnsi="Times New Roman" w:cs="Times New Roman"/>
          <w:sz w:val="28"/>
        </w:rPr>
      </w:pPr>
      <w:r>
        <w:rPr>
          <w:rFonts w:ascii="Times New Roman" w:hAnsi="Times New Roman" w:cs="Times New Roman"/>
          <w:sz w:val="28"/>
        </w:rPr>
        <w:t>-сумму договорных обязательств по приобретению  основных средств;</w:t>
      </w:r>
    </w:p>
    <w:p w:rsidR="00541CF7" w:rsidRDefault="00541CF7" w:rsidP="00541CF7">
      <w:pPr>
        <w:spacing w:after="0"/>
        <w:ind w:firstLine="708"/>
        <w:jc w:val="both"/>
        <w:rPr>
          <w:rFonts w:ascii="Times New Roman" w:hAnsi="Times New Roman" w:cs="Times New Roman"/>
          <w:sz w:val="28"/>
        </w:rPr>
      </w:pPr>
      <w:r>
        <w:rPr>
          <w:rFonts w:ascii="Times New Roman" w:hAnsi="Times New Roman" w:cs="Times New Roman"/>
          <w:sz w:val="28"/>
        </w:rPr>
        <w:t>-сумму компенсации от третьих сторон по объектам основных средств, которые обесценились, были утрачены или отданы, включенную в прибыль или убыток, если она не раскрыта отдельно в отчете о прибылях и убытках;</w:t>
      </w:r>
    </w:p>
    <w:p w:rsidR="00541CF7" w:rsidRDefault="00541CF7" w:rsidP="00541CF7">
      <w:pPr>
        <w:spacing w:after="0"/>
        <w:ind w:firstLine="708"/>
        <w:jc w:val="both"/>
        <w:rPr>
          <w:rFonts w:ascii="Times New Roman" w:hAnsi="Times New Roman" w:cs="Times New Roman"/>
          <w:sz w:val="28"/>
        </w:rPr>
      </w:pPr>
      <w:r>
        <w:rPr>
          <w:rFonts w:ascii="Times New Roman" w:hAnsi="Times New Roman" w:cs="Times New Roman"/>
          <w:sz w:val="28"/>
        </w:rPr>
        <w:t>-объекты основных средств, которые удерживаются для продажи, Предприятие представляет непосредственно в самом бухгалтерском балансе  отдельно от прочих активов. Обязательства, связанные с объектами  основных средств, которые  удерживаются для продажи, Предприятие представляет непосредственно в самом бухгалтерском балансе отдельно от прочих обязательств.</w:t>
      </w:r>
    </w:p>
    <w:p w:rsidR="00541CF7" w:rsidRPr="00C31FF0" w:rsidRDefault="00541CF7" w:rsidP="00541CF7">
      <w:pPr>
        <w:spacing w:after="0"/>
        <w:ind w:firstLine="708"/>
        <w:jc w:val="center"/>
        <w:rPr>
          <w:rFonts w:ascii="Times New Roman" w:hAnsi="Times New Roman" w:cs="Times New Roman"/>
          <w:b/>
          <w:sz w:val="28"/>
        </w:rPr>
      </w:pPr>
    </w:p>
    <w:p w:rsidR="00541CF7" w:rsidRPr="00C31FF0" w:rsidRDefault="00541CF7" w:rsidP="00541CF7">
      <w:pPr>
        <w:spacing w:after="0"/>
        <w:ind w:firstLine="708"/>
        <w:jc w:val="center"/>
        <w:rPr>
          <w:rFonts w:ascii="Times New Roman" w:hAnsi="Times New Roman" w:cs="Times New Roman"/>
          <w:b/>
          <w:sz w:val="28"/>
        </w:rPr>
      </w:pPr>
      <w:r w:rsidRPr="00DE2243">
        <w:rPr>
          <w:rFonts w:ascii="Times New Roman" w:hAnsi="Times New Roman" w:cs="Times New Roman"/>
          <w:b/>
          <w:sz w:val="28"/>
        </w:rPr>
        <w:t>Учет нематериальных активов</w:t>
      </w:r>
    </w:p>
    <w:p w:rsidR="00541CF7" w:rsidRPr="00C31FF0" w:rsidRDefault="00541CF7" w:rsidP="00541CF7">
      <w:pPr>
        <w:spacing w:after="0"/>
        <w:ind w:firstLine="708"/>
        <w:jc w:val="center"/>
        <w:rPr>
          <w:rFonts w:ascii="Times New Roman" w:hAnsi="Times New Roman" w:cs="Times New Roman"/>
          <w:b/>
          <w:sz w:val="28"/>
        </w:rPr>
      </w:pPr>
    </w:p>
    <w:p w:rsidR="00541CF7" w:rsidRDefault="00541CF7" w:rsidP="00541CF7">
      <w:pPr>
        <w:spacing w:after="0"/>
        <w:ind w:firstLine="708"/>
        <w:jc w:val="both"/>
        <w:rPr>
          <w:rFonts w:ascii="Times New Roman" w:hAnsi="Times New Roman" w:cs="Times New Roman"/>
          <w:sz w:val="28"/>
        </w:rPr>
      </w:pPr>
      <w:r>
        <w:rPr>
          <w:rFonts w:ascii="Times New Roman" w:hAnsi="Times New Roman" w:cs="Times New Roman"/>
          <w:sz w:val="28"/>
        </w:rPr>
        <w:t>Порядок учета и отражения в финансовой отчетности нематериальных активов регулируется МСФО (</w:t>
      </w:r>
      <w:r>
        <w:rPr>
          <w:rFonts w:ascii="Times New Roman" w:hAnsi="Times New Roman" w:cs="Times New Roman"/>
          <w:sz w:val="28"/>
          <w:lang w:val="en-US"/>
        </w:rPr>
        <w:t>IAS</w:t>
      </w:r>
      <w:r>
        <w:rPr>
          <w:rFonts w:ascii="Times New Roman" w:hAnsi="Times New Roman" w:cs="Times New Roman"/>
          <w:sz w:val="28"/>
        </w:rPr>
        <w:t>) 38 «Нематериальные активы».</w:t>
      </w:r>
    </w:p>
    <w:p w:rsidR="00541CF7" w:rsidRDefault="00541CF7" w:rsidP="00541CF7">
      <w:pPr>
        <w:spacing w:after="0"/>
        <w:ind w:firstLine="708"/>
        <w:jc w:val="both"/>
        <w:rPr>
          <w:rFonts w:ascii="Times New Roman" w:hAnsi="Times New Roman" w:cs="Times New Roman"/>
          <w:sz w:val="28"/>
        </w:rPr>
      </w:pPr>
      <w:r>
        <w:rPr>
          <w:rFonts w:ascii="Times New Roman" w:hAnsi="Times New Roman" w:cs="Times New Roman"/>
          <w:sz w:val="28"/>
        </w:rPr>
        <w:t xml:space="preserve">Предприятие вправе вкладывать средства в нематериальные активы, под которыми понимаются не денежные активы, не имеющие физической сущности, предназначенные для использования в течение длительного периода времени (более одного года) в производстве или реализации товаров (работ, услуг) в административных целях и сдаче в аренду другим субъектам, которые: </w:t>
      </w:r>
    </w:p>
    <w:p w:rsidR="00541CF7" w:rsidRDefault="00541CF7" w:rsidP="00541CF7">
      <w:pPr>
        <w:spacing w:after="0"/>
        <w:ind w:firstLine="708"/>
        <w:jc w:val="both"/>
        <w:rPr>
          <w:rFonts w:ascii="Times New Roman" w:hAnsi="Times New Roman" w:cs="Times New Roman"/>
          <w:sz w:val="28"/>
        </w:rPr>
      </w:pPr>
      <w:r>
        <w:rPr>
          <w:rFonts w:ascii="Times New Roman" w:hAnsi="Times New Roman" w:cs="Times New Roman"/>
          <w:sz w:val="28"/>
        </w:rPr>
        <w:t>- можно определить;</w:t>
      </w:r>
    </w:p>
    <w:p w:rsidR="00541CF7" w:rsidRDefault="00541CF7" w:rsidP="00541CF7">
      <w:pPr>
        <w:spacing w:after="0"/>
        <w:ind w:firstLine="708"/>
        <w:jc w:val="both"/>
        <w:rPr>
          <w:rFonts w:ascii="Times New Roman" w:hAnsi="Times New Roman" w:cs="Times New Roman"/>
          <w:sz w:val="28"/>
        </w:rPr>
      </w:pPr>
      <w:r>
        <w:rPr>
          <w:rFonts w:ascii="Times New Roman" w:hAnsi="Times New Roman" w:cs="Times New Roman"/>
          <w:sz w:val="28"/>
        </w:rPr>
        <w:t xml:space="preserve">- могут быть надежно </w:t>
      </w:r>
      <w:proofErr w:type="gramStart"/>
      <w:r>
        <w:rPr>
          <w:rFonts w:ascii="Times New Roman" w:hAnsi="Times New Roman" w:cs="Times New Roman"/>
          <w:sz w:val="28"/>
        </w:rPr>
        <w:t>оценены</w:t>
      </w:r>
      <w:proofErr w:type="gramEnd"/>
      <w:r>
        <w:rPr>
          <w:rFonts w:ascii="Times New Roman" w:hAnsi="Times New Roman" w:cs="Times New Roman"/>
          <w:sz w:val="28"/>
        </w:rPr>
        <w:t>;</w:t>
      </w:r>
    </w:p>
    <w:p w:rsidR="00541CF7" w:rsidRDefault="00541CF7" w:rsidP="00541CF7">
      <w:pPr>
        <w:spacing w:after="0"/>
        <w:ind w:firstLine="708"/>
        <w:jc w:val="both"/>
        <w:rPr>
          <w:rFonts w:ascii="Times New Roman" w:hAnsi="Times New Roman" w:cs="Times New Roman"/>
          <w:sz w:val="28"/>
        </w:rPr>
      </w:pPr>
      <w:r>
        <w:rPr>
          <w:rFonts w:ascii="Times New Roman" w:hAnsi="Times New Roman" w:cs="Times New Roman"/>
          <w:sz w:val="28"/>
        </w:rPr>
        <w:t>- могут принести экономические выгоды в будущем.</w:t>
      </w:r>
    </w:p>
    <w:p w:rsidR="00541CF7" w:rsidRDefault="00541CF7" w:rsidP="00541CF7">
      <w:pPr>
        <w:spacing w:after="0"/>
        <w:ind w:firstLine="708"/>
        <w:jc w:val="both"/>
        <w:rPr>
          <w:rFonts w:ascii="Times New Roman" w:hAnsi="Times New Roman" w:cs="Times New Roman"/>
          <w:sz w:val="28"/>
        </w:rPr>
      </w:pPr>
      <w:r>
        <w:rPr>
          <w:rFonts w:ascii="Times New Roman" w:hAnsi="Times New Roman" w:cs="Times New Roman"/>
          <w:sz w:val="28"/>
        </w:rPr>
        <w:t>Нематериальные активы, учитываются по модели учета по фактическим затратам, то есть по фактической себестоимости за вычетом накопленной амортизации и накопленного убытка от обесценения на счете 2730 «Прочие нематериальные активы». Амортизация нематериальных активов учитывается на счете 2740 «Амортизация прочих нематериальных активов».</w:t>
      </w:r>
    </w:p>
    <w:p w:rsidR="00541CF7" w:rsidRDefault="00541CF7" w:rsidP="00541CF7">
      <w:pPr>
        <w:spacing w:after="0"/>
        <w:ind w:firstLine="708"/>
        <w:rPr>
          <w:rFonts w:ascii="Times New Roman" w:hAnsi="Times New Roman" w:cs="Times New Roman"/>
          <w:b/>
          <w:sz w:val="28"/>
        </w:rPr>
      </w:pPr>
    </w:p>
    <w:p w:rsidR="00541CF7" w:rsidRDefault="00541CF7" w:rsidP="00541CF7">
      <w:pPr>
        <w:spacing w:after="0"/>
        <w:ind w:firstLine="708"/>
        <w:jc w:val="center"/>
        <w:rPr>
          <w:rFonts w:ascii="Times New Roman" w:hAnsi="Times New Roman" w:cs="Times New Roman"/>
          <w:b/>
          <w:sz w:val="28"/>
        </w:rPr>
      </w:pPr>
      <w:r w:rsidRPr="00DE2243">
        <w:rPr>
          <w:rFonts w:ascii="Times New Roman" w:hAnsi="Times New Roman" w:cs="Times New Roman"/>
          <w:b/>
          <w:sz w:val="28"/>
        </w:rPr>
        <w:t>Поступление нематери</w:t>
      </w:r>
      <w:r>
        <w:rPr>
          <w:rFonts w:ascii="Times New Roman" w:hAnsi="Times New Roman" w:cs="Times New Roman"/>
          <w:b/>
          <w:sz w:val="28"/>
        </w:rPr>
        <w:t>а</w:t>
      </w:r>
      <w:r w:rsidRPr="00DE2243">
        <w:rPr>
          <w:rFonts w:ascii="Times New Roman" w:hAnsi="Times New Roman" w:cs="Times New Roman"/>
          <w:b/>
          <w:sz w:val="28"/>
        </w:rPr>
        <w:t>льных активов</w:t>
      </w:r>
    </w:p>
    <w:p w:rsidR="00541CF7" w:rsidRDefault="00541CF7" w:rsidP="00541CF7">
      <w:pPr>
        <w:spacing w:after="0"/>
        <w:ind w:firstLine="708"/>
        <w:jc w:val="both"/>
        <w:rPr>
          <w:rFonts w:ascii="Times New Roman" w:hAnsi="Times New Roman" w:cs="Times New Roman"/>
          <w:sz w:val="28"/>
        </w:rPr>
      </w:pPr>
    </w:p>
    <w:p w:rsidR="00541CF7" w:rsidRDefault="00541CF7" w:rsidP="00541CF7">
      <w:pPr>
        <w:spacing w:after="0"/>
        <w:ind w:firstLine="708"/>
        <w:jc w:val="both"/>
        <w:rPr>
          <w:rFonts w:ascii="Times New Roman" w:hAnsi="Times New Roman" w:cs="Times New Roman"/>
          <w:sz w:val="28"/>
        </w:rPr>
      </w:pPr>
      <w:proofErr w:type="gramStart"/>
      <w:r>
        <w:rPr>
          <w:rFonts w:ascii="Times New Roman" w:hAnsi="Times New Roman" w:cs="Times New Roman"/>
          <w:sz w:val="28"/>
        </w:rPr>
        <w:t>Первоначальное признание нематериальных активов осуществляется по его себестоимости оформляется Актом приемки-передачи нематериальных  активов в произвольной форме, в котором отражаются их срок полезной службы и ликвидационная стоимость.</w:t>
      </w:r>
      <w:proofErr w:type="gramEnd"/>
    </w:p>
    <w:p w:rsidR="00541CF7" w:rsidRDefault="00541CF7" w:rsidP="00541CF7">
      <w:pPr>
        <w:spacing w:after="0"/>
        <w:ind w:firstLine="708"/>
        <w:jc w:val="both"/>
        <w:rPr>
          <w:rFonts w:ascii="Times New Roman" w:hAnsi="Times New Roman" w:cs="Times New Roman"/>
          <w:sz w:val="28"/>
        </w:rPr>
      </w:pPr>
      <w:r>
        <w:rPr>
          <w:rFonts w:ascii="Times New Roman" w:hAnsi="Times New Roman" w:cs="Times New Roman"/>
          <w:sz w:val="28"/>
        </w:rPr>
        <w:t>В себестоимость нематериального актива включается:</w:t>
      </w:r>
    </w:p>
    <w:p w:rsidR="00541CF7" w:rsidRDefault="00541CF7" w:rsidP="00541CF7">
      <w:pPr>
        <w:spacing w:after="0"/>
        <w:ind w:firstLine="708"/>
        <w:jc w:val="both"/>
        <w:rPr>
          <w:rFonts w:ascii="Times New Roman" w:hAnsi="Times New Roman" w:cs="Times New Roman"/>
          <w:sz w:val="28"/>
        </w:rPr>
      </w:pPr>
      <w:r>
        <w:rPr>
          <w:rFonts w:ascii="Times New Roman" w:hAnsi="Times New Roman" w:cs="Times New Roman"/>
          <w:sz w:val="28"/>
        </w:rPr>
        <w:lastRenderedPageBreak/>
        <w:t>- цена его приобретения после вычета торговых скидок и дисконтов, включая импортные пошлины и невозмещаемые налоги на покупку;</w:t>
      </w:r>
    </w:p>
    <w:p w:rsidR="00541CF7" w:rsidRDefault="00541CF7" w:rsidP="00541CF7">
      <w:pPr>
        <w:spacing w:after="0"/>
        <w:ind w:firstLine="708"/>
        <w:jc w:val="both"/>
        <w:rPr>
          <w:rFonts w:ascii="Times New Roman" w:hAnsi="Times New Roman" w:cs="Times New Roman"/>
          <w:sz w:val="28"/>
        </w:rPr>
      </w:pPr>
      <w:r>
        <w:rPr>
          <w:rFonts w:ascii="Times New Roman" w:hAnsi="Times New Roman" w:cs="Times New Roman"/>
          <w:sz w:val="28"/>
        </w:rPr>
        <w:t>- любые прямо относимые затраты на подготовку актива к использованию по назначению.</w:t>
      </w:r>
    </w:p>
    <w:p w:rsidR="00541CF7" w:rsidRDefault="00541CF7" w:rsidP="00541CF7">
      <w:pPr>
        <w:spacing w:after="0"/>
        <w:ind w:firstLine="708"/>
        <w:jc w:val="both"/>
        <w:rPr>
          <w:rFonts w:ascii="Times New Roman" w:hAnsi="Times New Roman" w:cs="Times New Roman"/>
          <w:sz w:val="28"/>
        </w:rPr>
      </w:pPr>
      <w:r>
        <w:rPr>
          <w:rFonts w:ascii="Times New Roman" w:hAnsi="Times New Roman" w:cs="Times New Roman"/>
          <w:sz w:val="28"/>
        </w:rPr>
        <w:t>Срок полезного использования нематериального актива устанавливается  Предприятием самостоятельно на основе наиболее приближенной оценки руководства, но не более срок деятельности компании с момента готовности нематериального актива к использованию, и является  неопределенным (патент, авторское право) или ограниченным (договорные права, например,- лицензионное соглашение).</w:t>
      </w:r>
    </w:p>
    <w:p w:rsidR="00541CF7" w:rsidRDefault="00541CF7" w:rsidP="00541CF7">
      <w:pPr>
        <w:spacing w:after="0"/>
        <w:ind w:firstLine="708"/>
        <w:jc w:val="both"/>
        <w:rPr>
          <w:rFonts w:ascii="Times New Roman" w:hAnsi="Times New Roman" w:cs="Times New Roman"/>
          <w:sz w:val="28"/>
        </w:rPr>
      </w:pPr>
      <w:r>
        <w:rPr>
          <w:rFonts w:ascii="Times New Roman" w:hAnsi="Times New Roman" w:cs="Times New Roman"/>
          <w:sz w:val="28"/>
        </w:rPr>
        <w:t>При неопределенном сроке полезного использования нематериального актива амортизация не начисляется, а ежегодно производится тест на обесценение. Сумма обесценения аккумулируется на счете  2750 «Убытки от обесценения прочих нематериальных активов».</w:t>
      </w:r>
    </w:p>
    <w:p w:rsidR="00541CF7" w:rsidRDefault="00541CF7" w:rsidP="00541CF7">
      <w:pPr>
        <w:spacing w:after="0"/>
        <w:ind w:firstLine="708"/>
        <w:jc w:val="both"/>
        <w:rPr>
          <w:rFonts w:ascii="Times New Roman" w:hAnsi="Times New Roman" w:cs="Times New Roman"/>
          <w:sz w:val="28"/>
        </w:rPr>
      </w:pPr>
      <w:r>
        <w:rPr>
          <w:rFonts w:ascii="Times New Roman" w:hAnsi="Times New Roman" w:cs="Times New Roman"/>
          <w:sz w:val="28"/>
        </w:rPr>
        <w:t>При ограниченном сроке использования нематериального актива амортизируемый период не может быть свыше срока действия договорного права.</w:t>
      </w:r>
    </w:p>
    <w:p w:rsidR="00541CF7" w:rsidRDefault="00541CF7" w:rsidP="00541CF7">
      <w:pPr>
        <w:spacing w:after="0"/>
        <w:ind w:firstLine="708"/>
        <w:jc w:val="both"/>
        <w:rPr>
          <w:rFonts w:ascii="Times New Roman" w:hAnsi="Times New Roman" w:cs="Times New Roman"/>
          <w:sz w:val="28"/>
        </w:rPr>
      </w:pPr>
      <w:r>
        <w:rPr>
          <w:rFonts w:ascii="Times New Roman" w:hAnsi="Times New Roman" w:cs="Times New Roman"/>
          <w:sz w:val="28"/>
        </w:rPr>
        <w:t>Ликвидационная стоимость нематериального актива с определенным сроком использования всегда считается равной нулю, если:</w:t>
      </w:r>
    </w:p>
    <w:p w:rsidR="00541CF7" w:rsidRDefault="00541CF7" w:rsidP="00541CF7">
      <w:pPr>
        <w:spacing w:after="0"/>
        <w:ind w:firstLine="708"/>
        <w:jc w:val="both"/>
        <w:rPr>
          <w:rFonts w:ascii="Times New Roman" w:hAnsi="Times New Roman" w:cs="Times New Roman"/>
          <w:sz w:val="28"/>
        </w:rPr>
      </w:pPr>
      <w:r>
        <w:rPr>
          <w:rFonts w:ascii="Times New Roman" w:hAnsi="Times New Roman" w:cs="Times New Roman"/>
          <w:sz w:val="28"/>
        </w:rPr>
        <w:t>- нет соглашения с третьей стороной о его покупке в конце срока полезной службы; или</w:t>
      </w:r>
    </w:p>
    <w:p w:rsidR="00541CF7" w:rsidRDefault="00541CF7" w:rsidP="00541CF7">
      <w:pPr>
        <w:spacing w:after="0"/>
        <w:ind w:firstLine="708"/>
        <w:jc w:val="both"/>
        <w:rPr>
          <w:rFonts w:ascii="Times New Roman" w:hAnsi="Times New Roman" w:cs="Times New Roman"/>
          <w:sz w:val="28"/>
        </w:rPr>
      </w:pPr>
      <w:r>
        <w:rPr>
          <w:rFonts w:ascii="Times New Roman" w:hAnsi="Times New Roman" w:cs="Times New Roman"/>
          <w:sz w:val="28"/>
        </w:rPr>
        <w:t>- не существует активного рынка для данного нематериального актива, в связи с чем:</w:t>
      </w:r>
    </w:p>
    <w:p w:rsidR="00541CF7" w:rsidRDefault="00541CF7" w:rsidP="00541CF7">
      <w:pPr>
        <w:spacing w:after="0"/>
        <w:ind w:firstLine="708"/>
        <w:jc w:val="both"/>
        <w:rPr>
          <w:rFonts w:ascii="Times New Roman" w:hAnsi="Times New Roman" w:cs="Times New Roman"/>
          <w:sz w:val="28"/>
        </w:rPr>
      </w:pPr>
      <w:r>
        <w:rPr>
          <w:rFonts w:ascii="Times New Roman" w:hAnsi="Times New Roman" w:cs="Times New Roman"/>
          <w:sz w:val="28"/>
        </w:rPr>
        <w:t>- ликвидационная стоимость актива не может быть достоверно  определена  со ссылкой на данный рынок; и</w:t>
      </w:r>
    </w:p>
    <w:p w:rsidR="00541CF7" w:rsidRDefault="00541CF7" w:rsidP="00541CF7">
      <w:pPr>
        <w:spacing w:after="0"/>
        <w:ind w:firstLine="708"/>
        <w:jc w:val="both"/>
        <w:rPr>
          <w:rFonts w:ascii="Times New Roman" w:hAnsi="Times New Roman" w:cs="Times New Roman"/>
          <w:sz w:val="28"/>
        </w:rPr>
      </w:pPr>
      <w:r>
        <w:rPr>
          <w:rFonts w:ascii="Times New Roman" w:hAnsi="Times New Roman" w:cs="Times New Roman"/>
          <w:sz w:val="28"/>
        </w:rPr>
        <w:t>- нет вероятности того, что подобный рынок будет существовать в конце срока полезной службы актива.</w:t>
      </w:r>
    </w:p>
    <w:p w:rsidR="00541CF7" w:rsidRPr="00C128CB" w:rsidRDefault="00541CF7" w:rsidP="00541CF7">
      <w:pPr>
        <w:spacing w:after="0"/>
        <w:ind w:firstLine="708"/>
        <w:jc w:val="center"/>
        <w:rPr>
          <w:rFonts w:ascii="Times New Roman" w:hAnsi="Times New Roman" w:cs="Times New Roman"/>
          <w:b/>
          <w:sz w:val="28"/>
        </w:rPr>
      </w:pPr>
    </w:p>
    <w:p w:rsidR="00541CF7" w:rsidRPr="00C31FF0" w:rsidRDefault="00541CF7" w:rsidP="00541CF7">
      <w:pPr>
        <w:spacing w:after="0"/>
        <w:ind w:firstLine="708"/>
        <w:jc w:val="center"/>
        <w:rPr>
          <w:rFonts w:ascii="Times New Roman" w:hAnsi="Times New Roman" w:cs="Times New Roman"/>
          <w:b/>
          <w:sz w:val="28"/>
        </w:rPr>
      </w:pPr>
      <w:r w:rsidRPr="00C128CB">
        <w:rPr>
          <w:rFonts w:ascii="Times New Roman" w:hAnsi="Times New Roman" w:cs="Times New Roman"/>
          <w:b/>
          <w:sz w:val="28"/>
        </w:rPr>
        <w:t>Выбытие нематериальных активов</w:t>
      </w:r>
    </w:p>
    <w:p w:rsidR="00541CF7" w:rsidRPr="00C31FF0" w:rsidRDefault="00541CF7" w:rsidP="00541CF7">
      <w:pPr>
        <w:spacing w:after="0"/>
        <w:ind w:firstLine="708"/>
        <w:jc w:val="center"/>
        <w:rPr>
          <w:rFonts w:ascii="Times New Roman" w:hAnsi="Times New Roman" w:cs="Times New Roman"/>
          <w:b/>
          <w:sz w:val="28"/>
        </w:rPr>
      </w:pPr>
    </w:p>
    <w:p w:rsidR="00541CF7" w:rsidRDefault="00541CF7" w:rsidP="00541CF7">
      <w:pPr>
        <w:spacing w:after="0"/>
        <w:ind w:firstLine="708"/>
        <w:jc w:val="both"/>
        <w:rPr>
          <w:rFonts w:ascii="Times New Roman" w:hAnsi="Times New Roman" w:cs="Times New Roman"/>
          <w:sz w:val="28"/>
        </w:rPr>
      </w:pPr>
      <w:r>
        <w:rPr>
          <w:rFonts w:ascii="Times New Roman" w:hAnsi="Times New Roman" w:cs="Times New Roman"/>
          <w:sz w:val="28"/>
        </w:rPr>
        <w:t>Нематериальный актив списывается с бухгалтерского баланса Предприятия при его выбытии или если не ожидается получение никаких экономических выгод от его использования или последующего выбытия. Выбытие нематериального актива оформляется актом на списание произвольной формы.</w:t>
      </w:r>
    </w:p>
    <w:p w:rsidR="00541CF7" w:rsidRDefault="00541CF7" w:rsidP="00541CF7">
      <w:pPr>
        <w:spacing w:after="0"/>
        <w:ind w:firstLine="708"/>
        <w:jc w:val="both"/>
        <w:rPr>
          <w:rFonts w:ascii="Times New Roman" w:hAnsi="Times New Roman" w:cs="Times New Roman"/>
          <w:sz w:val="28"/>
        </w:rPr>
      </w:pPr>
      <w:r>
        <w:rPr>
          <w:rFonts w:ascii="Times New Roman" w:hAnsi="Times New Roman" w:cs="Times New Roman"/>
          <w:sz w:val="28"/>
        </w:rPr>
        <w:t>При списании нематериального актива его первоначальная (переоцененная) стоимость списывается с соответствующего счета. Одновременно списывается накопленная по данному объекту амортизация. Прибыть и убыток, возникающие в связи с прекращением использования или выбытием нематериального актива, должны определяется как разница между чистыми поступлениями от выбытия и балансовой стоимостью актива и  должны признаваться как доход или расход в отчете о прибылях и убытках.</w:t>
      </w:r>
    </w:p>
    <w:p w:rsidR="00541CF7" w:rsidRDefault="00541CF7" w:rsidP="00541CF7">
      <w:pPr>
        <w:spacing w:after="0"/>
        <w:ind w:firstLine="708"/>
        <w:jc w:val="both"/>
        <w:rPr>
          <w:rFonts w:ascii="Times New Roman" w:hAnsi="Times New Roman" w:cs="Times New Roman"/>
          <w:sz w:val="28"/>
        </w:rPr>
      </w:pPr>
    </w:p>
    <w:p w:rsidR="00541CF7" w:rsidRDefault="00541CF7" w:rsidP="00541CF7">
      <w:pPr>
        <w:spacing w:after="0"/>
        <w:ind w:firstLine="708"/>
        <w:jc w:val="center"/>
        <w:rPr>
          <w:rFonts w:ascii="Times New Roman" w:hAnsi="Times New Roman" w:cs="Times New Roman"/>
          <w:b/>
          <w:sz w:val="28"/>
        </w:rPr>
      </w:pPr>
      <w:r w:rsidRPr="00F34486">
        <w:rPr>
          <w:rFonts w:ascii="Times New Roman" w:hAnsi="Times New Roman" w:cs="Times New Roman"/>
          <w:b/>
          <w:sz w:val="28"/>
        </w:rPr>
        <w:lastRenderedPageBreak/>
        <w:t>Начисление амортизации</w:t>
      </w:r>
    </w:p>
    <w:p w:rsidR="00541CF7" w:rsidRDefault="00541CF7" w:rsidP="00541CF7">
      <w:pPr>
        <w:spacing w:after="0"/>
        <w:ind w:firstLine="708"/>
        <w:jc w:val="center"/>
        <w:rPr>
          <w:rFonts w:ascii="Times New Roman" w:hAnsi="Times New Roman" w:cs="Times New Roman"/>
          <w:b/>
          <w:sz w:val="28"/>
        </w:rPr>
      </w:pPr>
    </w:p>
    <w:p w:rsidR="00541CF7" w:rsidRDefault="00541CF7" w:rsidP="00541CF7">
      <w:pPr>
        <w:spacing w:after="0"/>
        <w:ind w:firstLine="708"/>
        <w:jc w:val="both"/>
        <w:rPr>
          <w:rFonts w:ascii="Times New Roman" w:hAnsi="Times New Roman" w:cs="Times New Roman"/>
          <w:sz w:val="28"/>
        </w:rPr>
      </w:pPr>
      <w:r w:rsidRPr="00F34486">
        <w:rPr>
          <w:rFonts w:ascii="Times New Roman" w:hAnsi="Times New Roman" w:cs="Times New Roman"/>
          <w:sz w:val="28"/>
        </w:rPr>
        <w:t>В Предприятии начисление</w:t>
      </w:r>
      <w:r>
        <w:rPr>
          <w:rFonts w:ascii="Times New Roman" w:hAnsi="Times New Roman" w:cs="Times New Roman"/>
          <w:sz w:val="28"/>
        </w:rPr>
        <w:t xml:space="preserve"> аморт</w:t>
      </w:r>
      <w:r w:rsidRPr="00F34486">
        <w:rPr>
          <w:rFonts w:ascii="Times New Roman" w:hAnsi="Times New Roman" w:cs="Times New Roman"/>
          <w:sz w:val="28"/>
        </w:rPr>
        <w:t>изации производится с момента</w:t>
      </w:r>
      <w:r>
        <w:rPr>
          <w:rFonts w:ascii="Times New Roman" w:hAnsi="Times New Roman" w:cs="Times New Roman"/>
          <w:sz w:val="28"/>
        </w:rPr>
        <w:t xml:space="preserve"> готовности нематериального актива к использованию по назначению. Для начисления амортизации нематериальных активов используется прямолинейный (равномерный) метод, который применяется   последовательно от одного отчетного периода к другому, если только не произошли изменения в ожидаемой модели потребления экономических выгод от актива. Сумма  амортизации обычно признается как расход, если она не включена в себестоимость другого актива. </w:t>
      </w:r>
    </w:p>
    <w:p w:rsidR="00541CF7" w:rsidRDefault="00541CF7" w:rsidP="00541CF7">
      <w:pPr>
        <w:spacing w:after="0"/>
        <w:ind w:firstLine="708"/>
        <w:jc w:val="both"/>
        <w:rPr>
          <w:rFonts w:ascii="Times New Roman" w:hAnsi="Times New Roman" w:cs="Times New Roman"/>
          <w:sz w:val="28"/>
        </w:rPr>
      </w:pPr>
      <w:r>
        <w:rPr>
          <w:rFonts w:ascii="Times New Roman" w:hAnsi="Times New Roman" w:cs="Times New Roman"/>
          <w:sz w:val="28"/>
        </w:rPr>
        <w:t xml:space="preserve">Срок полезной службы и используемый метод начисления амортизации актива в Предприятии пересматриваются на каждую дату составления финансовой отчетности. Если ожидаемый срок полезной службы актива  значительно  отличается от предыдущих оценок, срок начисления амортизации должен быть соответственно изменен. Если происходит </w:t>
      </w:r>
      <w:proofErr w:type="gramStart"/>
      <w:r>
        <w:rPr>
          <w:rFonts w:ascii="Times New Roman" w:hAnsi="Times New Roman" w:cs="Times New Roman"/>
          <w:sz w:val="28"/>
        </w:rPr>
        <w:t>значительное</w:t>
      </w:r>
      <w:proofErr w:type="gramEnd"/>
      <w:r>
        <w:rPr>
          <w:rFonts w:ascii="Times New Roman" w:hAnsi="Times New Roman" w:cs="Times New Roman"/>
          <w:sz w:val="28"/>
        </w:rPr>
        <w:t xml:space="preserve">   изменения  в ожидаемой модели потребления экономических выгод от использования актива необходимо изменить метод начисления амортизации для отражения произошедшего изменения.</w:t>
      </w:r>
    </w:p>
    <w:p w:rsidR="00541CF7" w:rsidRDefault="00541CF7" w:rsidP="00541CF7">
      <w:pPr>
        <w:spacing w:after="0"/>
        <w:ind w:firstLine="708"/>
        <w:jc w:val="both"/>
        <w:rPr>
          <w:rFonts w:ascii="Times New Roman" w:hAnsi="Times New Roman" w:cs="Times New Roman"/>
          <w:sz w:val="28"/>
        </w:rPr>
      </w:pPr>
    </w:p>
    <w:p w:rsidR="00E80647" w:rsidRPr="007C6E8D" w:rsidRDefault="00E80647" w:rsidP="00E80647">
      <w:pPr>
        <w:jc w:val="center"/>
        <w:rPr>
          <w:rFonts w:ascii="Times New Roman" w:hAnsi="Times New Roman" w:cs="Times New Roman"/>
          <w:sz w:val="28"/>
          <w:szCs w:val="28"/>
        </w:rPr>
      </w:pPr>
    </w:p>
    <w:sectPr w:rsidR="00E80647" w:rsidRPr="007C6E8D" w:rsidSect="007C6E8D">
      <w:pgSz w:w="11906" w:h="16838"/>
      <w:pgMar w:top="568"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647"/>
    <w:rsid w:val="00541CF7"/>
    <w:rsid w:val="007B56D8"/>
    <w:rsid w:val="007C6E8D"/>
    <w:rsid w:val="00CE1133"/>
    <w:rsid w:val="00E806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14">
    <w:name w:val="j14"/>
    <w:basedOn w:val="a"/>
    <w:rsid w:val="007B56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0">
    <w:name w:val="s0"/>
    <w:basedOn w:val="a0"/>
    <w:rsid w:val="007B56D8"/>
  </w:style>
  <w:style w:type="paragraph" w:customStyle="1" w:styleId="j12">
    <w:name w:val="j12"/>
    <w:basedOn w:val="a"/>
    <w:rsid w:val="007B56D8"/>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3">
    <w:name w:val="Table Grid"/>
    <w:basedOn w:val="a1"/>
    <w:rsid w:val="00541C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14">
    <w:name w:val="j14"/>
    <w:basedOn w:val="a"/>
    <w:rsid w:val="007B56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0">
    <w:name w:val="s0"/>
    <w:basedOn w:val="a0"/>
    <w:rsid w:val="007B56D8"/>
  </w:style>
  <w:style w:type="paragraph" w:customStyle="1" w:styleId="j12">
    <w:name w:val="j12"/>
    <w:basedOn w:val="a"/>
    <w:rsid w:val="007B56D8"/>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3">
    <w:name w:val="Table Grid"/>
    <w:basedOn w:val="a1"/>
    <w:rsid w:val="00541C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24424">
      <w:bodyDiv w:val="1"/>
      <w:marLeft w:val="0"/>
      <w:marRight w:val="0"/>
      <w:marTop w:val="0"/>
      <w:marBottom w:val="0"/>
      <w:divBdr>
        <w:top w:val="none" w:sz="0" w:space="0" w:color="auto"/>
        <w:left w:val="none" w:sz="0" w:space="0" w:color="auto"/>
        <w:bottom w:val="none" w:sz="0" w:space="0" w:color="auto"/>
        <w:right w:val="none" w:sz="0" w:space="0" w:color="auto"/>
      </w:divBdr>
    </w:div>
    <w:div w:id="592589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6</Pages>
  <Words>1718</Words>
  <Characters>9797</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2019-05-02T03:11:00Z</dcterms:created>
  <dcterms:modified xsi:type="dcterms:W3CDTF">2019-05-02T04:08:00Z</dcterms:modified>
</cp:coreProperties>
</file>